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DB7F1" w14:textId="77777777" w:rsidR="00BB2D4A" w:rsidRDefault="00BB2D4A" w:rsidP="0059513C">
      <w:pPr>
        <w:jc w:val="both"/>
        <w:rPr>
          <w:rFonts w:ascii="Verdana" w:hAnsi="Verdana"/>
          <w:b/>
        </w:rPr>
      </w:pPr>
    </w:p>
    <w:p w14:paraId="7DC02E3B" w14:textId="15B1DA2C" w:rsidR="00476EB1" w:rsidRPr="0059513C" w:rsidRDefault="009D14CF" w:rsidP="0059513C">
      <w:pPr>
        <w:jc w:val="both"/>
        <w:rPr>
          <w:rFonts w:ascii="Verdana" w:hAnsi="Verdana"/>
          <w:b/>
        </w:rPr>
      </w:pPr>
      <w:r w:rsidRPr="0059513C">
        <w:rPr>
          <w:rFonts w:ascii="Verdana" w:hAnsi="Verdana"/>
          <w:b/>
        </w:rPr>
        <w:t xml:space="preserve">Приток инвестиций в </w:t>
      </w:r>
      <w:r w:rsidR="00C02926" w:rsidRPr="0059513C">
        <w:rPr>
          <w:rFonts w:ascii="Verdana" w:hAnsi="Verdana"/>
          <w:b/>
        </w:rPr>
        <w:t>Евразийск</w:t>
      </w:r>
      <w:r w:rsidR="007E611C" w:rsidRPr="0059513C">
        <w:rPr>
          <w:rFonts w:ascii="Verdana" w:hAnsi="Verdana"/>
          <w:b/>
        </w:rPr>
        <w:t>ий</w:t>
      </w:r>
      <w:r w:rsidR="00C02926" w:rsidRPr="0059513C">
        <w:rPr>
          <w:rFonts w:ascii="Verdana" w:hAnsi="Verdana"/>
          <w:b/>
        </w:rPr>
        <w:t xml:space="preserve"> регион </w:t>
      </w:r>
      <w:r w:rsidR="007E611C" w:rsidRPr="0059513C">
        <w:rPr>
          <w:rFonts w:ascii="Verdana" w:hAnsi="Verdana"/>
          <w:b/>
        </w:rPr>
        <w:t xml:space="preserve">из стран Азии </w:t>
      </w:r>
      <w:r w:rsidR="00C02926" w:rsidRPr="0059513C">
        <w:rPr>
          <w:rFonts w:ascii="Verdana" w:hAnsi="Verdana"/>
          <w:b/>
        </w:rPr>
        <w:t>в 2024-2025 г</w:t>
      </w:r>
      <w:r w:rsidR="007E611C" w:rsidRPr="0059513C">
        <w:rPr>
          <w:rFonts w:ascii="Verdana" w:hAnsi="Verdana"/>
          <w:b/>
        </w:rPr>
        <w:t>г</w:t>
      </w:r>
      <w:r w:rsidR="00C02926" w:rsidRPr="0059513C">
        <w:rPr>
          <w:rFonts w:ascii="Verdana" w:hAnsi="Verdana"/>
          <w:b/>
        </w:rPr>
        <w:t xml:space="preserve">. </w:t>
      </w:r>
      <w:r w:rsidR="0053171E">
        <w:rPr>
          <w:rFonts w:ascii="Verdana" w:hAnsi="Verdana"/>
          <w:b/>
        </w:rPr>
        <w:t>составил</w:t>
      </w:r>
      <w:r w:rsidRPr="0059513C">
        <w:rPr>
          <w:rFonts w:ascii="Verdana" w:hAnsi="Verdana"/>
          <w:b/>
        </w:rPr>
        <w:t xml:space="preserve"> </w:t>
      </w:r>
      <w:r w:rsidR="007E611C" w:rsidRPr="0059513C">
        <w:rPr>
          <w:rFonts w:ascii="Verdana" w:hAnsi="Verdana"/>
          <w:b/>
        </w:rPr>
        <w:t>$</w:t>
      </w:r>
      <w:r w:rsidRPr="0059513C">
        <w:rPr>
          <w:rFonts w:ascii="Verdana" w:hAnsi="Verdana"/>
          <w:b/>
        </w:rPr>
        <w:t xml:space="preserve">20 млрд, из них </w:t>
      </w:r>
      <w:r w:rsidR="007E611C" w:rsidRPr="0059513C">
        <w:rPr>
          <w:rFonts w:ascii="Verdana" w:hAnsi="Verdana"/>
          <w:b/>
        </w:rPr>
        <w:t>$</w:t>
      </w:r>
      <w:r w:rsidRPr="0059513C">
        <w:rPr>
          <w:rFonts w:ascii="Verdana" w:hAnsi="Verdana"/>
          <w:b/>
        </w:rPr>
        <w:t>9 млрд. вложили стран</w:t>
      </w:r>
      <w:r w:rsidR="00F5202B" w:rsidRPr="0059513C">
        <w:rPr>
          <w:rFonts w:ascii="Verdana" w:hAnsi="Verdana"/>
          <w:b/>
        </w:rPr>
        <w:t>ы</w:t>
      </w:r>
      <w:r w:rsidR="007E611C" w:rsidRPr="0059513C">
        <w:rPr>
          <w:rFonts w:ascii="Verdana" w:hAnsi="Verdana"/>
          <w:b/>
        </w:rPr>
        <w:t xml:space="preserve"> Залива</w:t>
      </w:r>
    </w:p>
    <w:p w14:paraId="66197260" w14:textId="77777777" w:rsidR="00D057A8" w:rsidRPr="0059513C" w:rsidRDefault="00D057A8" w:rsidP="0059513C">
      <w:pPr>
        <w:jc w:val="both"/>
        <w:rPr>
          <w:rFonts w:ascii="Verdana" w:hAnsi="Verdana"/>
          <w:b/>
        </w:rPr>
      </w:pPr>
    </w:p>
    <w:p w14:paraId="01CE13DC" w14:textId="067BAE78" w:rsidR="00564ECC" w:rsidRPr="0059513C" w:rsidRDefault="00947303" w:rsidP="0059513C">
      <w:pPr>
        <w:spacing w:before="120" w:after="120" w:line="240" w:lineRule="auto"/>
        <w:jc w:val="both"/>
        <w:rPr>
          <w:rFonts w:ascii="Verdana" w:eastAsia="Times New Roman" w:hAnsi="Verdana" w:cs="Times New Roman"/>
          <w:bCs/>
          <w:i/>
          <w:lang w:eastAsia="ru-RU"/>
        </w:rPr>
      </w:pPr>
      <w:r w:rsidRPr="0059513C">
        <w:rPr>
          <w:rFonts w:ascii="Verdana" w:eastAsia="Times New Roman" w:hAnsi="Verdana" w:cs="Times New Roman"/>
          <w:bCs/>
          <w:i/>
          <w:lang w:eastAsia="ru-RU"/>
        </w:rPr>
        <w:t xml:space="preserve">Приток азиатского капитала в страны Евразийского региона в 2024-2025 гг. </w:t>
      </w:r>
      <w:r w:rsidR="0053171E">
        <w:rPr>
          <w:rFonts w:ascii="Verdana" w:eastAsia="Times New Roman" w:hAnsi="Verdana" w:cs="Times New Roman"/>
          <w:bCs/>
          <w:i/>
          <w:lang w:eastAsia="ru-RU"/>
        </w:rPr>
        <w:t>составил</w:t>
      </w:r>
      <w:r w:rsidRPr="0059513C">
        <w:rPr>
          <w:rFonts w:ascii="Verdana" w:eastAsia="Times New Roman" w:hAnsi="Verdana" w:cs="Times New Roman"/>
          <w:bCs/>
          <w:i/>
          <w:lang w:eastAsia="ru-RU"/>
        </w:rPr>
        <w:t xml:space="preserve"> $20 млрд, несмотря на глобальный спад инвестиций</w:t>
      </w:r>
      <w:r w:rsidR="004C1650" w:rsidRPr="0059513C">
        <w:rPr>
          <w:rFonts w:ascii="Verdana" w:eastAsia="Times New Roman" w:hAnsi="Verdana" w:cs="Times New Roman"/>
          <w:bCs/>
          <w:i/>
          <w:lang w:eastAsia="ru-RU"/>
        </w:rPr>
        <w:t>, свидетельствуют данные нового доклада Евразийского банка развития (ЕАБР)</w:t>
      </w:r>
      <w:r w:rsidR="00E82B86" w:rsidRPr="0059513C">
        <w:rPr>
          <w:rFonts w:ascii="Verdana" w:eastAsia="Times New Roman" w:hAnsi="Verdana" w:cs="Times New Roman"/>
          <w:bCs/>
          <w:i/>
          <w:lang w:eastAsia="ru-RU"/>
        </w:rPr>
        <w:t>, подготовленного в рамках проекта</w:t>
      </w:r>
      <w:r w:rsidR="004C1650" w:rsidRPr="0059513C">
        <w:rPr>
          <w:rFonts w:ascii="Verdana" w:eastAsia="Times New Roman" w:hAnsi="Verdana" w:cs="Times New Roman"/>
          <w:bCs/>
          <w:i/>
          <w:lang w:eastAsia="ru-RU"/>
        </w:rPr>
        <w:t xml:space="preserve"> «Мониторинг взаимных инвестиций»</w:t>
      </w:r>
      <w:r w:rsidRPr="0059513C">
        <w:rPr>
          <w:rFonts w:ascii="Verdana" w:eastAsia="Times New Roman" w:hAnsi="Verdana" w:cs="Times New Roman"/>
          <w:bCs/>
          <w:i/>
          <w:lang w:eastAsia="ru-RU"/>
        </w:rPr>
        <w:t>. Почти половину этого роста ($9 млрд.) обеспечили страны Персидского залива</w:t>
      </w:r>
      <w:r w:rsidR="00C84754" w:rsidRPr="0059513C">
        <w:rPr>
          <w:rFonts w:ascii="Verdana" w:eastAsia="Times New Roman" w:hAnsi="Verdana" w:cs="Times New Roman"/>
          <w:bCs/>
          <w:i/>
          <w:lang w:eastAsia="ru-RU"/>
        </w:rPr>
        <w:t>.</w:t>
      </w:r>
      <w:r w:rsidRPr="0059513C">
        <w:rPr>
          <w:rFonts w:ascii="Verdana" w:eastAsia="Times New Roman" w:hAnsi="Verdana" w:cs="Times New Roman"/>
          <w:bCs/>
          <w:i/>
          <w:lang w:eastAsia="ru-RU"/>
        </w:rPr>
        <w:t xml:space="preserve"> </w:t>
      </w:r>
      <w:r w:rsidR="004C1650" w:rsidRPr="0059513C">
        <w:rPr>
          <w:rFonts w:ascii="Verdana" w:eastAsia="Times New Roman" w:hAnsi="Verdana" w:cs="Times New Roman"/>
          <w:bCs/>
          <w:i/>
          <w:lang w:eastAsia="ru-RU"/>
        </w:rPr>
        <w:t>Общий объем накопленных взаимных инвестиций стран Евразийского региона и стран Азии (Китай, страны Залива, Турция, Индия, Вьетнам и др.) достиг рекордных значений в 176 млрд. долл</w:t>
      </w:r>
      <w:r w:rsidRPr="0059513C">
        <w:rPr>
          <w:rFonts w:ascii="Verdana" w:eastAsia="Times New Roman" w:hAnsi="Verdana" w:cs="Times New Roman"/>
          <w:bCs/>
          <w:i/>
          <w:lang w:eastAsia="ru-RU"/>
        </w:rPr>
        <w:t>.</w:t>
      </w:r>
    </w:p>
    <w:p w14:paraId="69DF6DF9" w14:textId="77777777" w:rsidR="00BB2D4A" w:rsidRPr="0059513C" w:rsidRDefault="00BB2D4A" w:rsidP="0059513C">
      <w:pPr>
        <w:spacing w:before="120" w:after="120" w:line="240" w:lineRule="auto"/>
        <w:jc w:val="both"/>
        <w:rPr>
          <w:rFonts w:ascii="Verdana" w:eastAsia="Times New Roman" w:hAnsi="Verdana" w:cs="Times New Roman"/>
          <w:bCs/>
          <w:lang w:eastAsia="ru-RU"/>
        </w:rPr>
      </w:pPr>
    </w:p>
    <w:p w14:paraId="572FF2A7" w14:textId="77777777" w:rsidR="007F1B87" w:rsidRPr="0059513C" w:rsidRDefault="007F1B87" w:rsidP="0059513C">
      <w:pPr>
        <w:spacing w:before="120" w:after="120" w:line="240" w:lineRule="auto"/>
        <w:jc w:val="both"/>
        <w:outlineLvl w:val="2"/>
        <w:rPr>
          <w:rFonts w:ascii="Verdana" w:eastAsia="Times New Roman" w:hAnsi="Verdana" w:cs="Times New Roman"/>
          <w:b/>
          <w:bCs/>
          <w:u w:val="single"/>
          <w:lang w:eastAsia="ru-RU"/>
        </w:rPr>
      </w:pPr>
      <w:r w:rsidRPr="0059513C">
        <w:rPr>
          <w:rFonts w:ascii="Verdana" w:eastAsia="Times New Roman" w:hAnsi="Verdana" w:cs="Times New Roman"/>
          <w:b/>
          <w:bCs/>
          <w:u w:val="single"/>
          <w:lang w:eastAsia="ru-RU"/>
        </w:rPr>
        <w:t>Ключевые выводы доклада</w:t>
      </w:r>
    </w:p>
    <w:p w14:paraId="0163884A" w14:textId="72CC32DB" w:rsidR="00A26CD7" w:rsidRPr="0059513C" w:rsidRDefault="00CC2E88" w:rsidP="0059513C">
      <w:pPr>
        <w:pStyle w:val="AZA-Text"/>
        <w:numPr>
          <w:ilvl w:val="0"/>
          <w:numId w:val="19"/>
        </w:numPr>
        <w:rPr>
          <w:lang w:eastAsia="ru-RU"/>
        </w:rPr>
      </w:pPr>
      <w:r w:rsidRPr="0059513C">
        <w:rPr>
          <w:b/>
          <w:lang w:eastAsia="ru-RU"/>
        </w:rPr>
        <w:t>Р</w:t>
      </w:r>
      <w:r w:rsidR="00A26CD7" w:rsidRPr="0059513C">
        <w:rPr>
          <w:b/>
          <w:lang w:eastAsia="ru-RU"/>
        </w:rPr>
        <w:t>екорд</w:t>
      </w:r>
      <w:r w:rsidRPr="0059513C">
        <w:rPr>
          <w:b/>
          <w:lang w:eastAsia="ru-RU"/>
        </w:rPr>
        <w:t xml:space="preserve"> по объему привлеченных инвестиций</w:t>
      </w:r>
      <w:r w:rsidR="0096590E" w:rsidRPr="0059513C">
        <w:rPr>
          <w:b/>
          <w:lang w:eastAsia="ru-RU"/>
        </w:rPr>
        <w:t>:</w:t>
      </w:r>
      <w:r w:rsidR="0096590E" w:rsidRPr="0059513C">
        <w:rPr>
          <w:lang w:eastAsia="ru-RU"/>
        </w:rPr>
        <w:t xml:space="preserve"> </w:t>
      </w:r>
      <w:r w:rsidR="00E82B86" w:rsidRPr="0059513C">
        <w:rPr>
          <w:lang w:eastAsia="ru-RU"/>
        </w:rPr>
        <w:t>На конец первой половины 2025 г. н</w:t>
      </w:r>
      <w:r w:rsidR="00A26CD7" w:rsidRPr="0059513C">
        <w:rPr>
          <w:lang w:eastAsia="ru-RU"/>
        </w:rPr>
        <w:t xml:space="preserve">акопленные инвестиции </w:t>
      </w:r>
      <w:r w:rsidRPr="0059513C">
        <w:rPr>
          <w:lang w:eastAsia="ru-RU"/>
        </w:rPr>
        <w:t xml:space="preserve">в </w:t>
      </w:r>
      <w:r w:rsidR="00A26CD7" w:rsidRPr="0059513C">
        <w:rPr>
          <w:lang w:eastAsia="ru-RU"/>
        </w:rPr>
        <w:t>Евразийско</w:t>
      </w:r>
      <w:r w:rsidRPr="0059513C">
        <w:rPr>
          <w:lang w:eastAsia="ru-RU"/>
        </w:rPr>
        <w:t>м</w:t>
      </w:r>
      <w:r w:rsidR="00A26CD7" w:rsidRPr="0059513C">
        <w:rPr>
          <w:lang w:eastAsia="ru-RU"/>
        </w:rPr>
        <w:t xml:space="preserve"> регион</w:t>
      </w:r>
      <w:r w:rsidRPr="0059513C">
        <w:rPr>
          <w:lang w:eastAsia="ru-RU"/>
        </w:rPr>
        <w:t>е из стран</w:t>
      </w:r>
      <w:r w:rsidR="00A26CD7" w:rsidRPr="0059513C">
        <w:rPr>
          <w:lang w:eastAsia="ru-RU"/>
        </w:rPr>
        <w:t xml:space="preserve"> Азии достигли рекордных $</w:t>
      </w:r>
      <w:r w:rsidRPr="0059513C">
        <w:rPr>
          <w:lang w:eastAsia="ru-RU"/>
        </w:rPr>
        <w:t xml:space="preserve">120 </w:t>
      </w:r>
      <w:r w:rsidR="00E31084" w:rsidRPr="0059513C">
        <w:rPr>
          <w:lang w:eastAsia="ru-RU"/>
        </w:rPr>
        <w:t>млрд, продолжив устойчивый рост</w:t>
      </w:r>
      <w:r w:rsidRPr="0059513C">
        <w:rPr>
          <w:lang w:eastAsia="ru-RU"/>
        </w:rPr>
        <w:t>.</w:t>
      </w:r>
    </w:p>
    <w:p w14:paraId="6872BAD4" w14:textId="48EFFF47" w:rsidR="00C84754" w:rsidRPr="0059513C" w:rsidRDefault="00E31084" w:rsidP="0059513C">
      <w:pPr>
        <w:pStyle w:val="AZA-Text"/>
        <w:numPr>
          <w:ilvl w:val="0"/>
          <w:numId w:val="19"/>
        </w:numPr>
        <w:rPr>
          <w:lang w:eastAsia="ru-RU"/>
        </w:rPr>
      </w:pPr>
      <w:r w:rsidRPr="0059513C">
        <w:rPr>
          <w:b/>
          <w:lang w:eastAsia="ru-RU"/>
        </w:rPr>
        <w:t>Главный драйвер роста</w:t>
      </w:r>
      <w:r w:rsidR="0096590E" w:rsidRPr="0059513C">
        <w:rPr>
          <w:b/>
          <w:lang w:eastAsia="ru-RU"/>
        </w:rPr>
        <w:t>:</w:t>
      </w:r>
      <w:r w:rsidR="0096590E" w:rsidRPr="0059513C">
        <w:rPr>
          <w:lang w:eastAsia="ru-RU"/>
        </w:rPr>
        <w:t xml:space="preserve"> </w:t>
      </w:r>
      <w:r w:rsidRPr="0059513C">
        <w:rPr>
          <w:lang w:eastAsia="ru-RU"/>
        </w:rPr>
        <w:t xml:space="preserve">Страны </w:t>
      </w:r>
      <w:r w:rsidR="00E82B86" w:rsidRPr="0059513C">
        <w:rPr>
          <w:lang w:eastAsia="ru-RU"/>
        </w:rPr>
        <w:t>З</w:t>
      </w:r>
      <w:r w:rsidRPr="0059513C">
        <w:rPr>
          <w:lang w:eastAsia="ru-RU"/>
        </w:rPr>
        <w:t xml:space="preserve">алива. </w:t>
      </w:r>
      <w:r w:rsidR="00E82B86" w:rsidRPr="0059513C">
        <w:rPr>
          <w:lang w:eastAsia="ru-RU"/>
        </w:rPr>
        <w:t>В 2024-2025 гг. о</w:t>
      </w:r>
      <w:r w:rsidRPr="0059513C">
        <w:rPr>
          <w:lang w:eastAsia="ru-RU"/>
        </w:rPr>
        <w:t xml:space="preserve">ни обеспечили почти половину ($9 млрд.) прироста инвестиций </w:t>
      </w:r>
      <w:r w:rsidR="00CC2E88" w:rsidRPr="0059513C">
        <w:rPr>
          <w:lang w:eastAsia="ru-RU"/>
        </w:rPr>
        <w:t xml:space="preserve">в </w:t>
      </w:r>
      <w:r w:rsidR="00E82B86" w:rsidRPr="0059513C">
        <w:rPr>
          <w:lang w:eastAsia="ru-RU"/>
        </w:rPr>
        <w:t>Евразийский регион из стран Азии.</w:t>
      </w:r>
    </w:p>
    <w:p w14:paraId="6C3FA9D0" w14:textId="0918A141" w:rsidR="00C84754" w:rsidRPr="0059513C" w:rsidRDefault="00E31084" w:rsidP="0059513C">
      <w:pPr>
        <w:pStyle w:val="AZA-Text"/>
        <w:numPr>
          <w:ilvl w:val="0"/>
          <w:numId w:val="19"/>
        </w:numPr>
        <w:rPr>
          <w:lang w:eastAsia="ru-RU"/>
        </w:rPr>
      </w:pPr>
      <w:r w:rsidRPr="0059513C">
        <w:rPr>
          <w:b/>
          <w:lang w:eastAsia="ru-RU"/>
        </w:rPr>
        <w:t>Ключевой получатель</w:t>
      </w:r>
      <w:r w:rsidR="00E82B86" w:rsidRPr="0059513C">
        <w:rPr>
          <w:b/>
          <w:lang w:eastAsia="ru-RU"/>
        </w:rPr>
        <w:t xml:space="preserve"> ПИИ</w:t>
      </w:r>
      <w:r w:rsidR="0096590E" w:rsidRPr="0059513C">
        <w:rPr>
          <w:b/>
          <w:lang w:eastAsia="ru-RU"/>
        </w:rPr>
        <w:t>:</w:t>
      </w:r>
      <w:r w:rsidRPr="0059513C">
        <w:rPr>
          <w:lang w:eastAsia="ru-RU"/>
        </w:rPr>
        <w:t xml:space="preserve"> Центральная Азия (</w:t>
      </w:r>
      <w:r w:rsidR="00FC291D" w:rsidRPr="0059513C">
        <w:rPr>
          <w:lang w:eastAsia="ru-RU"/>
        </w:rPr>
        <w:t xml:space="preserve">почти </w:t>
      </w:r>
      <w:r w:rsidRPr="0059513C">
        <w:rPr>
          <w:lang w:eastAsia="ru-RU"/>
        </w:rPr>
        <w:t>57% всех азиатских инвестиций</w:t>
      </w:r>
      <w:r w:rsidR="00FC291D" w:rsidRPr="0059513C">
        <w:rPr>
          <w:lang w:eastAsia="ru-RU"/>
        </w:rPr>
        <w:t xml:space="preserve">, или </w:t>
      </w:r>
      <w:r w:rsidRPr="0059513C">
        <w:rPr>
          <w:lang w:eastAsia="ru-RU"/>
        </w:rPr>
        <w:t xml:space="preserve">$68 млрд). Основные реципиенты — </w:t>
      </w:r>
      <w:r w:rsidR="00FC291D" w:rsidRPr="0059513C">
        <w:rPr>
          <w:lang w:eastAsia="ru-RU"/>
        </w:rPr>
        <w:t xml:space="preserve">Казахстан, </w:t>
      </w:r>
      <w:r w:rsidRPr="0059513C">
        <w:rPr>
          <w:lang w:eastAsia="ru-RU"/>
        </w:rPr>
        <w:t xml:space="preserve">Узбекистан, </w:t>
      </w:r>
      <w:r w:rsidR="00FC291D" w:rsidRPr="0059513C">
        <w:rPr>
          <w:lang w:eastAsia="ru-RU"/>
        </w:rPr>
        <w:t>Туркменистан.</w:t>
      </w:r>
    </w:p>
    <w:p w14:paraId="2635AB40" w14:textId="3A211C5D" w:rsidR="00FC291D" w:rsidRPr="0059513C" w:rsidRDefault="00BB2D4A" w:rsidP="0059513C">
      <w:pPr>
        <w:pStyle w:val="AZA-Text"/>
        <w:numPr>
          <w:ilvl w:val="0"/>
          <w:numId w:val="19"/>
        </w:numPr>
        <w:rPr>
          <w:lang w:eastAsia="ru-RU"/>
        </w:rPr>
      </w:pPr>
      <w:r w:rsidRPr="0059513C">
        <w:rPr>
          <w:b/>
          <w:lang w:eastAsia="ru-RU"/>
        </w:rPr>
        <w:t xml:space="preserve">Наиболее инвестиционно-привлекательный </w:t>
      </w:r>
      <w:r w:rsidR="00FC291D" w:rsidRPr="0059513C">
        <w:rPr>
          <w:b/>
          <w:lang w:eastAsia="ru-RU"/>
        </w:rPr>
        <w:t>сектор</w:t>
      </w:r>
      <w:r w:rsidR="0096590E" w:rsidRPr="0059513C">
        <w:rPr>
          <w:b/>
          <w:lang w:eastAsia="ru-RU"/>
        </w:rPr>
        <w:t>:</w:t>
      </w:r>
      <w:r w:rsidR="0096590E" w:rsidRPr="0059513C">
        <w:rPr>
          <w:lang w:eastAsia="ru-RU"/>
        </w:rPr>
        <w:t xml:space="preserve"> Э</w:t>
      </w:r>
      <w:r w:rsidR="00E82B86" w:rsidRPr="0059513C">
        <w:rPr>
          <w:lang w:eastAsia="ru-RU"/>
        </w:rPr>
        <w:t>лектроэ</w:t>
      </w:r>
      <w:r w:rsidR="0096590E" w:rsidRPr="0059513C">
        <w:rPr>
          <w:lang w:eastAsia="ru-RU"/>
        </w:rPr>
        <w:t>н</w:t>
      </w:r>
      <w:r w:rsidR="00FC291D" w:rsidRPr="0059513C">
        <w:rPr>
          <w:lang w:eastAsia="ru-RU"/>
        </w:rPr>
        <w:t>ергетика. На нее пришлось более половины нового притока капи</w:t>
      </w:r>
      <w:r w:rsidR="0096590E" w:rsidRPr="0059513C">
        <w:rPr>
          <w:lang w:eastAsia="ru-RU"/>
        </w:rPr>
        <w:t xml:space="preserve">тала </w:t>
      </w:r>
      <w:r w:rsidRPr="0059513C">
        <w:rPr>
          <w:lang w:eastAsia="ru-RU"/>
        </w:rPr>
        <w:t xml:space="preserve">в 2024 – 2025 гг. </w:t>
      </w:r>
      <w:r w:rsidR="0096590E" w:rsidRPr="0059513C">
        <w:rPr>
          <w:lang w:eastAsia="ru-RU"/>
        </w:rPr>
        <w:t>($10,1 млрд из $19,8 млрд)</w:t>
      </w:r>
      <w:r w:rsidR="00FC291D" w:rsidRPr="0059513C">
        <w:rPr>
          <w:lang w:eastAsia="ru-RU"/>
        </w:rPr>
        <w:t>.</w:t>
      </w:r>
    </w:p>
    <w:p w14:paraId="118A08BF" w14:textId="04F12CED" w:rsidR="00FC291D" w:rsidRPr="0059513C" w:rsidRDefault="00BB2D4A" w:rsidP="0059513C">
      <w:pPr>
        <w:pStyle w:val="AZA-Text"/>
        <w:numPr>
          <w:ilvl w:val="0"/>
          <w:numId w:val="19"/>
        </w:numPr>
        <w:rPr>
          <w:lang w:eastAsia="ru-RU"/>
        </w:rPr>
      </w:pPr>
      <w:r w:rsidRPr="0059513C">
        <w:rPr>
          <w:b/>
          <w:lang w:eastAsia="ru-RU"/>
        </w:rPr>
        <w:t>И</w:t>
      </w:r>
      <w:r w:rsidR="00FC291D" w:rsidRPr="0059513C">
        <w:rPr>
          <w:b/>
          <w:lang w:eastAsia="ru-RU"/>
        </w:rPr>
        <w:t>нвестиции</w:t>
      </w:r>
      <w:r w:rsidRPr="0059513C">
        <w:rPr>
          <w:b/>
          <w:lang w:eastAsia="ru-RU"/>
        </w:rPr>
        <w:t xml:space="preserve"> стран Евразийского региона в Азии</w:t>
      </w:r>
      <w:r w:rsidR="00EB2D1A" w:rsidRPr="0059513C">
        <w:rPr>
          <w:b/>
          <w:lang w:eastAsia="ru-RU"/>
        </w:rPr>
        <w:t>:</w:t>
      </w:r>
      <w:r w:rsidR="00EB2D1A" w:rsidRPr="0059513C">
        <w:rPr>
          <w:lang w:eastAsia="ru-RU"/>
        </w:rPr>
        <w:t xml:space="preserve"> Рост продолжает</w:t>
      </w:r>
      <w:r w:rsidR="00423B2A" w:rsidRPr="0059513C">
        <w:rPr>
          <w:lang w:eastAsia="ru-RU"/>
        </w:rPr>
        <w:t>с</w:t>
      </w:r>
      <w:r w:rsidR="00EB2D1A" w:rsidRPr="0059513C">
        <w:rPr>
          <w:lang w:eastAsia="ru-RU"/>
        </w:rPr>
        <w:t xml:space="preserve">я. </w:t>
      </w:r>
      <w:r w:rsidRPr="0059513C">
        <w:rPr>
          <w:lang w:eastAsia="ru-RU"/>
        </w:rPr>
        <w:t>К концу первой половины 2025 г. о</w:t>
      </w:r>
      <w:r w:rsidR="00FC291D" w:rsidRPr="0059513C">
        <w:rPr>
          <w:lang w:eastAsia="ru-RU"/>
        </w:rPr>
        <w:t>бъем достиг $56,6 млрд, ключев</w:t>
      </w:r>
      <w:r w:rsidR="00EB2D1A" w:rsidRPr="0059513C">
        <w:rPr>
          <w:lang w:eastAsia="ru-RU"/>
        </w:rPr>
        <w:t xml:space="preserve">ые направления </w:t>
      </w:r>
      <w:r w:rsidRPr="0059513C">
        <w:rPr>
          <w:lang w:eastAsia="ru-RU"/>
        </w:rPr>
        <w:t xml:space="preserve">инвестиций – </w:t>
      </w:r>
      <w:r w:rsidR="00EB2D1A" w:rsidRPr="0059513C">
        <w:rPr>
          <w:lang w:eastAsia="ru-RU"/>
        </w:rPr>
        <w:t>Турция и Индия</w:t>
      </w:r>
      <w:r w:rsidR="00FC291D" w:rsidRPr="0059513C">
        <w:rPr>
          <w:lang w:eastAsia="ru-RU"/>
        </w:rPr>
        <w:t>.</w:t>
      </w:r>
    </w:p>
    <w:p w14:paraId="6C2A583E" w14:textId="77777777" w:rsidR="00C84754" w:rsidRPr="0059513C" w:rsidRDefault="00C84754" w:rsidP="0059513C">
      <w:pPr>
        <w:spacing w:before="240" w:after="0" w:line="240" w:lineRule="auto"/>
        <w:jc w:val="both"/>
        <w:rPr>
          <w:rFonts w:ascii="Verdana" w:eastAsia="Times New Roman" w:hAnsi="Verdana" w:cs="Times New Roman"/>
          <w:lang w:eastAsia="ru-RU"/>
        </w:rPr>
      </w:pPr>
    </w:p>
    <w:p w14:paraId="0A5362B2" w14:textId="0487B77B" w:rsidR="00BE60A4" w:rsidRPr="0059513C" w:rsidRDefault="00BE60A4" w:rsidP="0059513C">
      <w:pPr>
        <w:pStyle w:val="AZA-Text"/>
        <w:rPr>
          <w:b/>
          <w:u w:val="single"/>
        </w:rPr>
      </w:pPr>
      <w:r w:rsidRPr="0059513C">
        <w:rPr>
          <w:b/>
          <w:u w:val="single"/>
        </w:rPr>
        <w:t>Подробно</w:t>
      </w:r>
      <w:r w:rsidR="00307CAF" w:rsidRPr="0059513C">
        <w:rPr>
          <w:b/>
          <w:u w:val="single"/>
        </w:rPr>
        <w:t xml:space="preserve"> </w:t>
      </w:r>
      <w:r w:rsidRPr="0059513C">
        <w:rPr>
          <w:b/>
          <w:u w:val="single"/>
        </w:rPr>
        <w:t>о</w:t>
      </w:r>
      <w:r w:rsidR="00307CAF" w:rsidRPr="0059513C">
        <w:rPr>
          <w:b/>
          <w:u w:val="single"/>
        </w:rPr>
        <w:t xml:space="preserve"> </w:t>
      </w:r>
      <w:r w:rsidRPr="0059513C">
        <w:rPr>
          <w:b/>
          <w:u w:val="single"/>
        </w:rPr>
        <w:t>докладе:</w:t>
      </w:r>
    </w:p>
    <w:p w14:paraId="64C5D094" w14:textId="04E440B4" w:rsidR="00FF6FE2" w:rsidRPr="00D03260" w:rsidRDefault="00FF6FE2" w:rsidP="0059513C">
      <w:pPr>
        <w:pStyle w:val="AZA-Text"/>
      </w:pPr>
      <w:r w:rsidRPr="0059513C">
        <w:rPr>
          <w:i/>
          <w:iCs/>
        </w:rPr>
        <w:t>Евразийский</w:t>
      </w:r>
      <w:r w:rsidR="00307CAF" w:rsidRPr="0059513C">
        <w:rPr>
          <w:i/>
          <w:iCs/>
        </w:rPr>
        <w:t xml:space="preserve"> </w:t>
      </w:r>
      <w:r w:rsidRPr="0059513C">
        <w:rPr>
          <w:i/>
          <w:iCs/>
        </w:rPr>
        <w:t>банк</w:t>
      </w:r>
      <w:r w:rsidR="00307CAF" w:rsidRPr="0059513C">
        <w:rPr>
          <w:i/>
          <w:iCs/>
        </w:rPr>
        <w:t xml:space="preserve"> </w:t>
      </w:r>
      <w:r w:rsidRPr="0059513C">
        <w:rPr>
          <w:i/>
          <w:iCs/>
        </w:rPr>
        <w:t>развития</w:t>
      </w:r>
      <w:r w:rsidR="00307CAF" w:rsidRPr="0059513C">
        <w:rPr>
          <w:i/>
          <w:iCs/>
        </w:rPr>
        <w:t xml:space="preserve"> </w:t>
      </w:r>
      <w:r w:rsidRPr="0059513C">
        <w:rPr>
          <w:i/>
          <w:iCs/>
        </w:rPr>
        <w:t>(ЕАБР,</w:t>
      </w:r>
      <w:r w:rsidR="00307CAF" w:rsidRPr="0059513C">
        <w:rPr>
          <w:i/>
          <w:iCs/>
        </w:rPr>
        <w:t xml:space="preserve"> </w:t>
      </w:r>
      <w:r w:rsidRPr="0059513C">
        <w:rPr>
          <w:i/>
          <w:iCs/>
        </w:rPr>
        <w:t>Банк)</w:t>
      </w:r>
      <w:r w:rsidR="00307CAF" w:rsidRPr="0059513C">
        <w:t xml:space="preserve"> </w:t>
      </w:r>
      <w:r w:rsidRPr="0059513C">
        <w:t>продолжает</w:t>
      </w:r>
      <w:r w:rsidR="00307CAF" w:rsidRPr="0059513C">
        <w:t xml:space="preserve"> </w:t>
      </w:r>
      <w:r w:rsidRPr="0059513C">
        <w:t>серию</w:t>
      </w:r>
      <w:r w:rsidR="00307CAF" w:rsidRPr="0059513C">
        <w:t xml:space="preserve"> </w:t>
      </w:r>
      <w:r w:rsidRPr="0059513C">
        <w:t>публикаций</w:t>
      </w:r>
      <w:r w:rsidR="00307CAF" w:rsidRPr="0059513C">
        <w:t xml:space="preserve"> </w:t>
      </w:r>
      <w:r w:rsidRPr="0059513C">
        <w:t>в</w:t>
      </w:r>
      <w:r w:rsidR="00307CAF" w:rsidRPr="0059513C">
        <w:t xml:space="preserve"> </w:t>
      </w:r>
      <w:r w:rsidRPr="0059513C">
        <w:t>рамках</w:t>
      </w:r>
      <w:r w:rsidR="00307CAF" w:rsidRPr="0059513C">
        <w:t xml:space="preserve"> </w:t>
      </w:r>
      <w:r w:rsidRPr="0059513C">
        <w:t>своего</w:t>
      </w:r>
      <w:r w:rsidR="00307CAF" w:rsidRPr="0059513C">
        <w:t xml:space="preserve"> </w:t>
      </w:r>
      <w:r w:rsidRPr="0059513C">
        <w:t>флагманского</w:t>
      </w:r>
      <w:r w:rsidR="00307CAF" w:rsidRPr="0059513C">
        <w:t xml:space="preserve"> </w:t>
      </w:r>
      <w:r w:rsidRPr="0059513C">
        <w:t>аналитического</w:t>
      </w:r>
      <w:r w:rsidR="00307CAF" w:rsidRPr="0059513C">
        <w:t xml:space="preserve"> </w:t>
      </w:r>
      <w:r w:rsidRPr="0059513C">
        <w:t>проекта</w:t>
      </w:r>
      <w:r w:rsidR="00307CAF" w:rsidRPr="0059513C">
        <w:t xml:space="preserve"> </w:t>
      </w:r>
      <w:r w:rsidRPr="0059513C">
        <w:t>-</w:t>
      </w:r>
      <w:r w:rsidR="00307CAF" w:rsidRPr="0059513C">
        <w:t xml:space="preserve"> </w:t>
      </w:r>
      <w:r w:rsidRPr="0059513C">
        <w:rPr>
          <w:b/>
          <w:bCs/>
        </w:rPr>
        <w:t>«Мониторинг</w:t>
      </w:r>
      <w:r w:rsidR="00307CAF" w:rsidRPr="0059513C">
        <w:rPr>
          <w:b/>
          <w:bCs/>
        </w:rPr>
        <w:t xml:space="preserve"> </w:t>
      </w:r>
      <w:r w:rsidRPr="0059513C">
        <w:rPr>
          <w:b/>
          <w:bCs/>
        </w:rPr>
        <w:t>взаимных</w:t>
      </w:r>
      <w:r w:rsidR="00307CAF" w:rsidRPr="0059513C">
        <w:rPr>
          <w:b/>
          <w:bCs/>
        </w:rPr>
        <w:t xml:space="preserve"> </w:t>
      </w:r>
      <w:r w:rsidRPr="0059513C">
        <w:rPr>
          <w:b/>
          <w:bCs/>
        </w:rPr>
        <w:t>инвестиций»</w:t>
      </w:r>
      <w:r w:rsidR="00307CAF" w:rsidRPr="0059513C">
        <w:rPr>
          <w:b/>
          <w:bCs/>
        </w:rPr>
        <w:t xml:space="preserve"> </w:t>
      </w:r>
      <w:r w:rsidRPr="0059513C">
        <w:rPr>
          <w:b/>
          <w:bCs/>
        </w:rPr>
        <w:t>(МВИ)</w:t>
      </w:r>
      <w:r w:rsidR="003E3423" w:rsidRPr="0059513C">
        <w:rPr>
          <w:b/>
          <w:bCs/>
        </w:rPr>
        <w:t>.</w:t>
      </w:r>
      <w:r w:rsidR="00307CAF" w:rsidRPr="0059513C">
        <w:rPr>
          <w:b/>
          <w:bCs/>
        </w:rPr>
        <w:t xml:space="preserve"> </w:t>
      </w:r>
      <w:r w:rsidRPr="0059513C">
        <w:t>В</w:t>
      </w:r>
      <w:r w:rsidR="00307CAF" w:rsidRPr="0059513C">
        <w:t xml:space="preserve"> </w:t>
      </w:r>
      <w:r w:rsidRPr="0059513C">
        <w:t>основе</w:t>
      </w:r>
      <w:r w:rsidR="00307CAF" w:rsidRPr="0059513C">
        <w:t xml:space="preserve"> </w:t>
      </w:r>
      <w:r w:rsidRPr="0059513C">
        <w:t>МВИ</w:t>
      </w:r>
      <w:r w:rsidR="00307CAF" w:rsidRPr="0059513C">
        <w:t xml:space="preserve"> </w:t>
      </w:r>
      <w:r w:rsidRPr="0059513C">
        <w:t>ЕАБР</w:t>
      </w:r>
      <w:r w:rsidR="00307CAF" w:rsidRPr="0059513C">
        <w:t xml:space="preserve"> </w:t>
      </w:r>
      <w:r w:rsidRPr="0059513C">
        <w:t>лежит</w:t>
      </w:r>
      <w:r w:rsidR="00307CAF" w:rsidRPr="0059513C">
        <w:t xml:space="preserve"> </w:t>
      </w:r>
      <w:r w:rsidRPr="0059513C">
        <w:rPr>
          <w:b/>
          <w:bCs/>
        </w:rPr>
        <w:t>уникальная</w:t>
      </w:r>
      <w:r w:rsidR="00307CAF" w:rsidRPr="0059513C">
        <w:rPr>
          <w:b/>
          <w:bCs/>
        </w:rPr>
        <w:t xml:space="preserve"> </w:t>
      </w:r>
      <w:r w:rsidRPr="0059513C">
        <w:rPr>
          <w:b/>
          <w:bCs/>
        </w:rPr>
        <w:t>база</w:t>
      </w:r>
      <w:r w:rsidR="00307CAF" w:rsidRPr="0059513C">
        <w:rPr>
          <w:b/>
          <w:bCs/>
        </w:rPr>
        <w:t xml:space="preserve"> </w:t>
      </w:r>
      <w:r w:rsidRPr="0059513C">
        <w:rPr>
          <w:b/>
          <w:bCs/>
        </w:rPr>
        <w:t>данных</w:t>
      </w:r>
      <w:r w:rsidR="00307CAF" w:rsidRPr="0059513C">
        <w:rPr>
          <w:b/>
          <w:bCs/>
        </w:rPr>
        <w:t xml:space="preserve"> </w:t>
      </w:r>
      <w:r w:rsidRPr="0059513C">
        <w:rPr>
          <w:b/>
          <w:bCs/>
        </w:rPr>
        <w:t>инвестиционных</w:t>
      </w:r>
      <w:r w:rsidR="00307CAF" w:rsidRPr="0059513C">
        <w:rPr>
          <w:b/>
          <w:bCs/>
        </w:rPr>
        <w:t xml:space="preserve"> </w:t>
      </w:r>
      <w:r w:rsidRPr="0059513C">
        <w:rPr>
          <w:b/>
          <w:bCs/>
        </w:rPr>
        <w:t>проектов</w:t>
      </w:r>
      <w:r w:rsidR="00597A5B" w:rsidRPr="0059513C">
        <w:rPr>
          <w:b/>
          <w:bCs/>
        </w:rPr>
        <w:t>.</w:t>
      </w:r>
      <w:r w:rsidR="00307CAF" w:rsidRPr="0059513C">
        <w:t xml:space="preserve"> </w:t>
      </w:r>
      <w:r w:rsidR="00597A5B" w:rsidRPr="0059513C">
        <w:t>Она</w:t>
      </w:r>
      <w:r w:rsidR="00307CAF" w:rsidRPr="0059513C">
        <w:t xml:space="preserve"> </w:t>
      </w:r>
      <w:r w:rsidRPr="0059513C">
        <w:t>содерж</w:t>
      </w:r>
      <w:r w:rsidR="00597A5B" w:rsidRPr="0059513C">
        <w:t>ит</w:t>
      </w:r>
      <w:r w:rsidR="00307CAF" w:rsidRPr="0059513C">
        <w:t xml:space="preserve"> </w:t>
      </w:r>
      <w:r w:rsidRPr="0059513C">
        <w:t>детализированные</w:t>
      </w:r>
      <w:r w:rsidR="00307CAF" w:rsidRPr="00D03260">
        <w:t xml:space="preserve"> </w:t>
      </w:r>
      <w:r w:rsidRPr="00D03260">
        <w:t>сведения</w:t>
      </w:r>
      <w:r w:rsidR="00307CAF" w:rsidRPr="00D03260">
        <w:t xml:space="preserve"> </w:t>
      </w:r>
      <w:r w:rsidRPr="00D03260">
        <w:t>о</w:t>
      </w:r>
      <w:r w:rsidR="00307CAF" w:rsidRPr="00D03260">
        <w:t xml:space="preserve"> </w:t>
      </w:r>
      <w:r w:rsidRPr="00D03260">
        <w:t>накопленных</w:t>
      </w:r>
      <w:r w:rsidR="00307CAF" w:rsidRPr="00D03260">
        <w:t xml:space="preserve"> </w:t>
      </w:r>
      <w:r w:rsidRPr="00D03260">
        <w:t>взаимных</w:t>
      </w:r>
      <w:r w:rsidR="00307CAF" w:rsidRPr="00D03260">
        <w:t xml:space="preserve"> </w:t>
      </w:r>
      <w:r w:rsidRPr="00D03260">
        <w:t>ПИИ.</w:t>
      </w:r>
      <w:r w:rsidR="00307CAF" w:rsidRPr="00D03260">
        <w:t xml:space="preserve"> </w:t>
      </w:r>
      <w:r w:rsidRPr="00D03260">
        <w:t>База</w:t>
      </w:r>
      <w:r w:rsidR="00307CAF" w:rsidRPr="00D03260">
        <w:t xml:space="preserve"> </w:t>
      </w:r>
      <w:r w:rsidRPr="00D03260">
        <w:t>формируется</w:t>
      </w:r>
      <w:r w:rsidR="00307CAF" w:rsidRPr="00D03260">
        <w:t xml:space="preserve"> </w:t>
      </w:r>
      <w:r w:rsidRPr="00D03260">
        <w:t>по</w:t>
      </w:r>
      <w:r w:rsidR="00307CAF" w:rsidRPr="00D03260">
        <w:t xml:space="preserve"> </w:t>
      </w:r>
      <w:r w:rsidRPr="00D03260">
        <w:t>принципу</w:t>
      </w:r>
      <w:r w:rsidR="00307CAF" w:rsidRPr="00D03260">
        <w:t xml:space="preserve"> </w:t>
      </w:r>
      <w:r w:rsidRPr="00D03260">
        <w:rPr>
          <w:iCs/>
        </w:rPr>
        <w:t>«снизу-вверх»</w:t>
      </w:r>
      <w:r w:rsidRPr="00D03260">
        <w:t>,</w:t>
      </w:r>
      <w:r w:rsidR="00307CAF" w:rsidRPr="00D03260">
        <w:t xml:space="preserve"> </w:t>
      </w:r>
      <w:r w:rsidRPr="00D03260">
        <w:t>на</w:t>
      </w:r>
      <w:r w:rsidR="00307CAF" w:rsidRPr="00D03260">
        <w:t xml:space="preserve"> </w:t>
      </w:r>
      <w:r w:rsidRPr="00D03260">
        <w:t>основе</w:t>
      </w:r>
      <w:r w:rsidR="00307CAF" w:rsidRPr="00D03260">
        <w:t xml:space="preserve"> </w:t>
      </w:r>
      <w:r w:rsidRPr="00D03260">
        <w:t>верифицированной</w:t>
      </w:r>
      <w:r w:rsidR="00307CAF" w:rsidRPr="00D03260">
        <w:t xml:space="preserve"> </w:t>
      </w:r>
      <w:r w:rsidRPr="00D03260">
        <w:t>информации</w:t>
      </w:r>
      <w:r w:rsidR="00307CAF" w:rsidRPr="00D03260">
        <w:t xml:space="preserve"> </w:t>
      </w:r>
      <w:r w:rsidRPr="00D03260">
        <w:t>из</w:t>
      </w:r>
      <w:r w:rsidR="00307CAF" w:rsidRPr="00D03260">
        <w:t xml:space="preserve"> </w:t>
      </w:r>
      <w:r w:rsidRPr="00D03260">
        <w:t>открытых</w:t>
      </w:r>
      <w:r w:rsidR="00307CAF" w:rsidRPr="00D03260">
        <w:t xml:space="preserve"> </w:t>
      </w:r>
      <w:r w:rsidRPr="00D03260">
        <w:t>источников</w:t>
      </w:r>
      <w:r w:rsidR="00307CAF" w:rsidRPr="00D03260">
        <w:t xml:space="preserve"> </w:t>
      </w:r>
      <w:r w:rsidRPr="00D03260">
        <w:t>-</w:t>
      </w:r>
      <w:r w:rsidR="00307CAF" w:rsidRPr="00D03260">
        <w:t xml:space="preserve"> </w:t>
      </w:r>
      <w:r w:rsidRPr="00D03260">
        <w:t>корпоративных</w:t>
      </w:r>
      <w:r w:rsidR="00307CAF" w:rsidRPr="00D03260">
        <w:t xml:space="preserve"> </w:t>
      </w:r>
      <w:r w:rsidRPr="00D03260">
        <w:t>отчетов,</w:t>
      </w:r>
      <w:r w:rsidR="00307CAF" w:rsidRPr="00D03260">
        <w:t xml:space="preserve"> </w:t>
      </w:r>
      <w:r w:rsidRPr="00D03260">
        <w:t>государственных</w:t>
      </w:r>
      <w:r w:rsidR="00307CAF" w:rsidRPr="00D03260">
        <w:t xml:space="preserve"> </w:t>
      </w:r>
      <w:r w:rsidRPr="00D03260">
        <w:t>реестров,</w:t>
      </w:r>
      <w:r w:rsidR="00307CAF" w:rsidRPr="00D03260">
        <w:t xml:space="preserve"> </w:t>
      </w:r>
      <w:r w:rsidRPr="00D03260">
        <w:t>статистических</w:t>
      </w:r>
      <w:r w:rsidR="00307CAF" w:rsidRPr="00D03260">
        <w:t xml:space="preserve"> </w:t>
      </w:r>
      <w:r w:rsidRPr="00D03260">
        <w:t>агентств</w:t>
      </w:r>
      <w:r w:rsidR="00307CAF" w:rsidRPr="00D03260">
        <w:t xml:space="preserve"> </w:t>
      </w:r>
      <w:r w:rsidRPr="00D03260">
        <w:t>и</w:t>
      </w:r>
      <w:r w:rsidR="00307CAF" w:rsidRPr="00D03260">
        <w:t xml:space="preserve"> </w:t>
      </w:r>
      <w:r w:rsidRPr="00D03260">
        <w:t>деловых</w:t>
      </w:r>
      <w:r w:rsidR="00307CAF" w:rsidRPr="00D03260">
        <w:t xml:space="preserve"> </w:t>
      </w:r>
      <w:r w:rsidRPr="00D03260">
        <w:t>СМИ.</w:t>
      </w:r>
    </w:p>
    <w:p w14:paraId="4B773571" w14:textId="05AD5135" w:rsidR="00A71A12" w:rsidRPr="00A71A12" w:rsidRDefault="00A71A12" w:rsidP="00A71A12">
      <w:pPr>
        <w:spacing w:before="120" w:after="120" w:line="240" w:lineRule="auto"/>
        <w:jc w:val="both"/>
        <w:rPr>
          <w:rFonts w:ascii="Verdana" w:eastAsia="Times New Roman" w:hAnsi="Verdana" w:cs="Times New Roman"/>
          <w:bCs/>
          <w:lang w:eastAsia="ru-RU"/>
        </w:rPr>
      </w:pPr>
      <w:r w:rsidRPr="00A71A12">
        <w:rPr>
          <w:rFonts w:ascii="Verdana" w:eastAsia="Times New Roman" w:hAnsi="Verdana" w:cs="Times New Roman"/>
          <w:bCs/>
          <w:lang w:eastAsia="ru-RU"/>
        </w:rPr>
        <w:t xml:space="preserve">Общий объем накопленных взаимных инвестиций </w:t>
      </w:r>
      <w:r>
        <w:rPr>
          <w:rFonts w:ascii="Verdana" w:eastAsia="Times New Roman" w:hAnsi="Verdana" w:cs="Times New Roman"/>
          <w:bCs/>
          <w:lang w:eastAsia="ru-RU"/>
        </w:rPr>
        <w:t>13</w:t>
      </w:r>
      <w:r w:rsidR="00F3188C">
        <w:rPr>
          <w:rFonts w:ascii="Verdana" w:eastAsia="Times New Roman" w:hAnsi="Verdana" w:cs="Times New Roman"/>
          <w:bCs/>
          <w:lang w:eastAsia="ru-RU"/>
        </w:rPr>
        <w:t>-ти</w:t>
      </w:r>
      <w:r>
        <w:rPr>
          <w:rFonts w:ascii="Verdana" w:eastAsia="Times New Roman" w:hAnsi="Verdana" w:cs="Times New Roman"/>
          <w:bCs/>
          <w:lang w:eastAsia="ru-RU"/>
        </w:rPr>
        <w:t xml:space="preserve"> </w:t>
      </w:r>
      <w:r w:rsidRPr="00A71A12">
        <w:rPr>
          <w:rFonts w:ascii="Verdana" w:eastAsia="Times New Roman" w:hAnsi="Verdana" w:cs="Times New Roman"/>
          <w:bCs/>
          <w:lang w:eastAsia="ru-RU"/>
        </w:rPr>
        <w:t xml:space="preserve">стран Евразийского региона </w:t>
      </w:r>
      <w:r w:rsidRPr="00A71A12">
        <w:rPr>
          <w:rFonts w:ascii="Verdana" w:eastAsia="Calibri" w:hAnsi="Verdana" w:cs="Times New Roman"/>
        </w:rPr>
        <w:t xml:space="preserve">(Азербайджан, Армения, Беларусь, Грузия, Казахстан, Кыргызстан, </w:t>
      </w:r>
      <w:r w:rsidRPr="00A71A12">
        <w:rPr>
          <w:rFonts w:ascii="Verdana" w:eastAsia="Calibri" w:hAnsi="Verdana" w:cs="Times New Roman"/>
        </w:rPr>
        <w:lastRenderedPageBreak/>
        <w:t>Молдова, Монголия, Россия, Таджикистан, Туркменистан, Узбекистан и Украина) и</w:t>
      </w:r>
      <w:r w:rsidRPr="00A71A12">
        <w:rPr>
          <w:rFonts w:ascii="Verdana" w:eastAsia="Times New Roman" w:hAnsi="Verdana" w:cs="Times New Roman"/>
          <w:bCs/>
          <w:lang w:eastAsia="ru-RU"/>
        </w:rPr>
        <w:t xml:space="preserve"> стран </w:t>
      </w:r>
      <w:r>
        <w:rPr>
          <w:rFonts w:ascii="Verdana" w:eastAsia="Times New Roman" w:hAnsi="Verdana" w:cs="Times New Roman"/>
          <w:bCs/>
          <w:lang w:eastAsia="ru-RU"/>
        </w:rPr>
        <w:t xml:space="preserve">- </w:t>
      </w:r>
      <w:r w:rsidRPr="00A71A12">
        <w:rPr>
          <w:rFonts w:ascii="Verdana" w:eastAsia="Times New Roman" w:hAnsi="Verdana" w:cs="Times New Roman"/>
          <w:bCs/>
          <w:lang w:eastAsia="ru-RU"/>
        </w:rPr>
        <w:t>партнеров из Азии (</w:t>
      </w:r>
      <w:r w:rsidRPr="00A71A12">
        <w:rPr>
          <w:rFonts w:ascii="Verdana" w:eastAsia="Calibri" w:hAnsi="Verdana" w:cs="Times New Roman"/>
        </w:rPr>
        <w:t xml:space="preserve">Афганистан, Вьетнам, Индия, Индонезия, Иран, </w:t>
      </w:r>
      <w:r w:rsidR="00F3188C">
        <w:rPr>
          <w:rFonts w:ascii="Verdana" w:eastAsia="Calibri" w:hAnsi="Verdana" w:cs="Times New Roman"/>
        </w:rPr>
        <w:t>Китай, Турция</w:t>
      </w:r>
      <w:r w:rsidRPr="00A71A12">
        <w:rPr>
          <w:rFonts w:ascii="Verdana" w:eastAsia="Calibri" w:hAnsi="Verdana" w:cs="Times New Roman"/>
        </w:rPr>
        <w:t xml:space="preserve"> и страны Залива </w:t>
      </w:r>
      <w:r>
        <w:rPr>
          <w:rFonts w:ascii="Verdana" w:eastAsia="Calibri" w:hAnsi="Verdana" w:cs="Times New Roman"/>
        </w:rPr>
        <w:t xml:space="preserve">- </w:t>
      </w:r>
      <w:r w:rsidRPr="00A71A12">
        <w:rPr>
          <w:rFonts w:ascii="Verdana" w:eastAsia="Calibri" w:hAnsi="Verdana" w:cs="Times New Roman"/>
        </w:rPr>
        <w:t>Бахрейн, Катар, Кувейт, ОАЭ, Оман, Саудовская Аравия)</w:t>
      </w:r>
      <w:r w:rsidRPr="00A71A12">
        <w:rPr>
          <w:rFonts w:ascii="Verdana" w:eastAsia="Times New Roman" w:hAnsi="Verdana" w:cs="Times New Roman"/>
          <w:bCs/>
          <w:lang w:eastAsia="ru-RU"/>
        </w:rPr>
        <w:t xml:space="preserve"> </w:t>
      </w:r>
      <w:r w:rsidRPr="00A71A12">
        <w:rPr>
          <w:rFonts w:ascii="Verdana" w:eastAsia="Times New Roman" w:hAnsi="Verdana" w:cs="Times New Roman"/>
          <w:b/>
          <w:bCs/>
          <w:lang w:eastAsia="ru-RU"/>
        </w:rPr>
        <w:t xml:space="preserve">достиг рекордных значений в </w:t>
      </w:r>
      <w:r w:rsidR="00F3188C" w:rsidRPr="00F3188C">
        <w:rPr>
          <w:rFonts w:ascii="Verdana" w:eastAsia="Times New Roman" w:hAnsi="Verdana" w:cs="Times New Roman"/>
          <w:b/>
          <w:bCs/>
          <w:lang w:eastAsia="ru-RU"/>
        </w:rPr>
        <w:t>$</w:t>
      </w:r>
      <w:r w:rsidRPr="00A71A12">
        <w:rPr>
          <w:rFonts w:ascii="Verdana" w:eastAsia="Times New Roman" w:hAnsi="Verdana" w:cs="Times New Roman"/>
          <w:b/>
          <w:bCs/>
          <w:lang w:eastAsia="ru-RU"/>
        </w:rPr>
        <w:t>176 млрд. Он непрерывно растет с 2016 г. и за 10 лет увеличился вдвое</w:t>
      </w:r>
      <w:r>
        <w:rPr>
          <w:rFonts w:ascii="Verdana" w:eastAsia="Times New Roman" w:hAnsi="Verdana" w:cs="Times New Roman"/>
          <w:bCs/>
          <w:lang w:eastAsia="ru-RU"/>
        </w:rPr>
        <w:t xml:space="preserve">. </w:t>
      </w:r>
    </w:p>
    <w:p w14:paraId="01876E21" w14:textId="22AFF872" w:rsidR="00FC02AE" w:rsidRPr="00AE7535" w:rsidRDefault="00FC02AE" w:rsidP="000C0387">
      <w:pPr>
        <w:pStyle w:val="AZA-Text"/>
      </w:pPr>
      <w:r w:rsidRPr="00AE7535">
        <w:t xml:space="preserve">По состоянию на конец первого полугодия 2025 г. общий объем накопленных </w:t>
      </w:r>
      <w:r w:rsidR="00402ACB">
        <w:t xml:space="preserve">привлеченных </w:t>
      </w:r>
      <w:r w:rsidR="00F3188C">
        <w:t>ПИИ</w:t>
      </w:r>
      <w:r w:rsidRPr="00AE7535">
        <w:t xml:space="preserve"> </w:t>
      </w:r>
      <w:r w:rsidR="00402ACB">
        <w:t xml:space="preserve">в Евразийский регион </w:t>
      </w:r>
      <w:r w:rsidRPr="00AE7535">
        <w:t xml:space="preserve">из </w:t>
      </w:r>
      <w:r w:rsidR="00F3188C">
        <w:t xml:space="preserve">азиатских </w:t>
      </w:r>
      <w:r w:rsidRPr="00AE7535">
        <w:t>стран</w:t>
      </w:r>
      <w:r w:rsidR="00402ACB">
        <w:t xml:space="preserve"> </w:t>
      </w:r>
      <w:r w:rsidRPr="00AE7535">
        <w:t xml:space="preserve">достиг </w:t>
      </w:r>
      <w:r w:rsidR="00F3188C" w:rsidRPr="00F3188C">
        <w:t>$</w:t>
      </w:r>
      <w:r w:rsidRPr="00AE7535">
        <w:rPr>
          <w:b/>
        </w:rPr>
        <w:t>119,8 млрд,</w:t>
      </w:r>
      <w:r w:rsidRPr="00AE7535">
        <w:t xml:space="preserve"> </w:t>
      </w:r>
      <w:r w:rsidRPr="00AE7535">
        <w:rPr>
          <w:b/>
        </w:rPr>
        <w:t>увеличившись на 20%</w:t>
      </w:r>
      <w:r w:rsidRPr="00AE7535">
        <w:t xml:space="preserve"> по сравнению с 2023 г. </w:t>
      </w:r>
    </w:p>
    <w:p w14:paraId="4398935F" w14:textId="51F338B3" w:rsidR="00FC02AE" w:rsidRPr="00402ACB" w:rsidRDefault="00FC02AE" w:rsidP="000C0387">
      <w:pPr>
        <w:pStyle w:val="AZA-Text"/>
        <w:rPr>
          <w:color w:val="0070C0"/>
        </w:rPr>
      </w:pPr>
      <w:r w:rsidRPr="00402ACB">
        <w:rPr>
          <w:color w:val="0070C0"/>
        </w:rPr>
        <w:t xml:space="preserve">Накопленные прямые инвестиции </w:t>
      </w:r>
      <w:r w:rsidR="00035FA5">
        <w:rPr>
          <w:color w:val="0070C0"/>
        </w:rPr>
        <w:t xml:space="preserve">азиатских </w:t>
      </w:r>
      <w:r w:rsidRPr="00402ACB">
        <w:rPr>
          <w:color w:val="0070C0"/>
        </w:rPr>
        <w:t xml:space="preserve">стран в Евразийский регион (слева) и объемы прироста инвестиций по странам-инвесторам с 2023 г. по 1 пол. 2025 г.  (справа), </w:t>
      </w:r>
      <w:r w:rsidR="00F3188C" w:rsidRPr="00D025F5">
        <w:rPr>
          <w:color w:val="0070C0"/>
        </w:rPr>
        <w:t>$</w:t>
      </w:r>
      <w:r w:rsidRPr="00402ACB">
        <w:rPr>
          <w:color w:val="0070C0"/>
        </w:rPr>
        <w:t>млрд</w:t>
      </w:r>
    </w:p>
    <w:p w14:paraId="4F5A83DF" w14:textId="08F40B67" w:rsidR="00FC02AE" w:rsidRPr="00AE7535" w:rsidRDefault="00FC02AE" w:rsidP="00FC02AE">
      <w:pPr>
        <w:spacing w:after="0"/>
        <w:rPr>
          <w:b/>
        </w:rPr>
      </w:pPr>
      <w:r>
        <w:rPr>
          <w:noProof/>
          <w:lang w:eastAsia="ru-RU"/>
        </w:rPr>
        <w:drawing>
          <wp:inline distT="0" distB="0" distL="0" distR="0" wp14:anchorId="0AD72109" wp14:editId="11CD3843">
            <wp:extent cx="5943600" cy="2409825"/>
            <wp:effectExtent l="0" t="0" r="0" b="9525"/>
            <wp:docPr id="6" name="Рисунок 6" descr="EDB_MVI_26-2_Graph_2026-01-2_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B_MVI_26-2_Graph_2026-01-2_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535">
        <w:rPr>
          <w:noProof/>
          <w:lang w:eastAsia="ru-RU"/>
        </w:rPr>
        <w:t xml:space="preserve"> </w:t>
      </w:r>
    </w:p>
    <w:p w14:paraId="5E81D794" w14:textId="77777777" w:rsidR="00FC02AE" w:rsidRPr="00AE7535" w:rsidRDefault="00FC02AE" w:rsidP="00402ACB">
      <w:pPr>
        <w:pStyle w:val="AZA-Text"/>
        <w:spacing w:before="0"/>
      </w:pPr>
      <w:r w:rsidRPr="00AE7535">
        <w:t>Источник: База данных МВИ ЕАБР</w:t>
      </w:r>
    </w:p>
    <w:p w14:paraId="3638333D" w14:textId="0EC10176" w:rsidR="00FC02AE" w:rsidRPr="00AE7535" w:rsidRDefault="00FC02AE" w:rsidP="00402ACB">
      <w:pPr>
        <w:pStyle w:val="AZA-Text"/>
      </w:pPr>
      <w:r w:rsidRPr="00AE7535">
        <w:t xml:space="preserve">Основными </w:t>
      </w:r>
      <w:r w:rsidR="00402ACB">
        <w:t xml:space="preserve">инвесторами выступают компании из </w:t>
      </w:r>
      <w:r w:rsidRPr="00AE7535">
        <w:t>Кита</w:t>
      </w:r>
      <w:r w:rsidR="00402ACB">
        <w:t>я</w:t>
      </w:r>
      <w:r w:rsidRPr="00AE7535">
        <w:t xml:space="preserve"> - </w:t>
      </w:r>
      <w:r w:rsidR="00F3188C" w:rsidRPr="00F3188C">
        <w:t>$</w:t>
      </w:r>
      <w:r w:rsidR="00041C9B">
        <w:t>66,1</w:t>
      </w:r>
      <w:r w:rsidRPr="00AE7535">
        <w:t xml:space="preserve"> млрд (55% общего объема), стран Залива - </w:t>
      </w:r>
      <w:r w:rsidR="00F3188C" w:rsidRPr="00F3188C">
        <w:t>$</w:t>
      </w:r>
      <w:r w:rsidRPr="00AE7535">
        <w:t>23,9 млрд (20%)</w:t>
      </w:r>
      <w:r w:rsidR="00402ACB">
        <w:t>,</w:t>
      </w:r>
      <w:r w:rsidRPr="00AE7535">
        <w:t xml:space="preserve"> Турци</w:t>
      </w:r>
      <w:r w:rsidR="00402ACB">
        <w:t>и</w:t>
      </w:r>
      <w:r w:rsidRPr="00AE7535">
        <w:t xml:space="preserve"> - </w:t>
      </w:r>
      <w:r w:rsidR="00F3188C" w:rsidRPr="00F3188C">
        <w:t>$</w:t>
      </w:r>
      <w:r w:rsidRPr="00AE7535">
        <w:t>12,3 млрд (15,5%)</w:t>
      </w:r>
      <w:r w:rsidR="00402ACB">
        <w:t xml:space="preserve"> и Индии - </w:t>
      </w:r>
      <w:r w:rsidR="00F3188C" w:rsidRPr="00F3188C">
        <w:t>$</w:t>
      </w:r>
      <w:r w:rsidR="00402ACB" w:rsidRPr="00315F0F">
        <w:rPr>
          <w:rFonts w:eastAsia="Times New Roman"/>
          <w:bCs/>
          <w:lang w:eastAsia="ru-RU"/>
        </w:rPr>
        <w:t>6,8 млрд</w:t>
      </w:r>
      <w:r w:rsidR="00402ACB">
        <w:rPr>
          <w:rFonts w:eastAsia="Times New Roman"/>
          <w:bCs/>
          <w:lang w:eastAsia="ru-RU"/>
        </w:rPr>
        <w:t xml:space="preserve"> (5,7%). </w:t>
      </w:r>
      <w:r w:rsidRPr="00AE7535">
        <w:t>В совокуп</w:t>
      </w:r>
      <w:r w:rsidR="00402ACB">
        <w:t>ности на них приходится около 96</w:t>
      </w:r>
      <w:r w:rsidRPr="00AE7535">
        <w:t xml:space="preserve">% всех накопленных </w:t>
      </w:r>
      <w:r w:rsidR="00402ACB">
        <w:t xml:space="preserve">привлеченных </w:t>
      </w:r>
      <w:r w:rsidRPr="00AE7535">
        <w:t xml:space="preserve">инвестиций из </w:t>
      </w:r>
      <w:r w:rsidR="00F965E6">
        <w:t>азиатских</w:t>
      </w:r>
      <w:r w:rsidRPr="00AE7535">
        <w:t xml:space="preserve"> стран.</w:t>
      </w:r>
    </w:p>
    <w:p w14:paraId="25128946" w14:textId="33553D51" w:rsidR="00FC02AE" w:rsidRDefault="00FC02AE" w:rsidP="00402ACB">
      <w:pPr>
        <w:pStyle w:val="AZA-Text"/>
      </w:pPr>
      <w:r w:rsidRPr="00BC0286">
        <w:rPr>
          <w:b/>
        </w:rPr>
        <w:t xml:space="preserve">Китай </w:t>
      </w:r>
      <w:r w:rsidRPr="00AE7535">
        <w:t xml:space="preserve">сохраняет статус крупнейшего инвестора в Евразийском регионе, при этом ключевым драйвером прироста инвестиций в последние годы выступают </w:t>
      </w:r>
      <w:r w:rsidRPr="00BC0286">
        <w:rPr>
          <w:b/>
        </w:rPr>
        <w:t>страны Залива</w:t>
      </w:r>
      <w:r w:rsidRPr="00AE7535">
        <w:t xml:space="preserve">. Именно они обеспечили наибольший вклад в прирост инвестиций за последние полтора года. При общем увеличении вложений из </w:t>
      </w:r>
      <w:r w:rsidR="00A63B2B">
        <w:t>азиатских государств</w:t>
      </w:r>
      <w:r w:rsidRPr="00AE7535">
        <w:t xml:space="preserve"> </w:t>
      </w:r>
      <w:r w:rsidRPr="00AE7535">
        <w:rPr>
          <w:b/>
        </w:rPr>
        <w:t>на 20 млрд долл.</w:t>
      </w:r>
      <w:r w:rsidRPr="00AE7535">
        <w:t xml:space="preserve"> на страны Залива пришлось </w:t>
      </w:r>
      <w:r w:rsidRPr="00AE7535">
        <w:rPr>
          <w:b/>
        </w:rPr>
        <w:t>около 9 млрд долл</w:t>
      </w:r>
      <w:r w:rsidRPr="00AE7535">
        <w:t xml:space="preserve">., или 45% совокупного прироста. В долгосрочной динамике они демонстрируют наиболее высокие темпы </w:t>
      </w:r>
      <w:r w:rsidR="00F66498">
        <w:t>роста</w:t>
      </w:r>
      <w:r w:rsidRPr="00AE7535">
        <w:t xml:space="preserve"> инвестиций в Евразийский регион - в среднем по 13,9% в год с 2016 г. </w:t>
      </w:r>
    </w:p>
    <w:p w14:paraId="08F3CC6E" w14:textId="55F7C195" w:rsidR="006F5C44" w:rsidRDefault="006F5C44" w:rsidP="00FF7FDC">
      <w:pPr>
        <w:pStyle w:val="AZA-Text"/>
      </w:pPr>
      <w:r>
        <w:rPr>
          <w:rFonts w:eastAsia="Times New Roman"/>
          <w:lang w:eastAsia="ru-RU"/>
        </w:rPr>
        <w:t>Из стран Залива в</w:t>
      </w:r>
      <w:r w:rsidRPr="00C12444">
        <w:rPr>
          <w:rFonts w:eastAsia="Times New Roman"/>
          <w:lang w:eastAsia="ru-RU"/>
        </w:rPr>
        <w:t>едущим</w:t>
      </w:r>
      <w:r>
        <w:rPr>
          <w:rFonts w:eastAsia="Times New Roman"/>
          <w:lang w:eastAsia="ru-RU"/>
        </w:rPr>
        <w:t>и</w:t>
      </w:r>
      <w:r w:rsidRPr="00C12444">
        <w:rPr>
          <w:rFonts w:eastAsia="Times New Roman"/>
          <w:lang w:eastAsia="ru-RU"/>
        </w:rPr>
        <w:t xml:space="preserve"> инвестор</w:t>
      </w:r>
      <w:r>
        <w:rPr>
          <w:rFonts w:eastAsia="Times New Roman"/>
          <w:lang w:eastAsia="ru-RU"/>
        </w:rPr>
        <w:t>ами</w:t>
      </w:r>
      <w:r w:rsidRPr="00C12444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выступают компании из </w:t>
      </w:r>
      <w:r w:rsidRPr="00C12444">
        <w:rPr>
          <w:rFonts w:eastAsia="Times New Roman"/>
          <w:b/>
          <w:bCs/>
          <w:lang w:eastAsia="ru-RU"/>
        </w:rPr>
        <w:t>ОАЭ</w:t>
      </w:r>
      <w:r w:rsidRPr="00C12444">
        <w:rPr>
          <w:rFonts w:eastAsia="Times New Roman"/>
          <w:lang w:eastAsia="ru-RU"/>
        </w:rPr>
        <w:t xml:space="preserve"> с портфелем </w:t>
      </w:r>
      <w:r w:rsidRPr="004E53CF">
        <w:rPr>
          <w:rFonts w:eastAsia="Times New Roman"/>
          <w:bCs/>
          <w:lang w:eastAsia="ru-RU"/>
        </w:rPr>
        <w:t>$16,1 млрд (68%)</w:t>
      </w:r>
      <w:r>
        <w:rPr>
          <w:rFonts w:eastAsia="Times New Roman"/>
          <w:lang w:eastAsia="ru-RU"/>
        </w:rPr>
        <w:t xml:space="preserve">. Стремительно растут привлеченные инвестиции из </w:t>
      </w:r>
      <w:r w:rsidRPr="004E53CF">
        <w:rPr>
          <w:rFonts w:eastAsia="Times New Roman"/>
          <w:bCs/>
          <w:lang w:eastAsia="ru-RU"/>
        </w:rPr>
        <w:t>Саудовск</w:t>
      </w:r>
      <w:r>
        <w:rPr>
          <w:rFonts w:eastAsia="Times New Roman"/>
          <w:bCs/>
          <w:lang w:eastAsia="ru-RU"/>
        </w:rPr>
        <w:t>ой</w:t>
      </w:r>
      <w:r w:rsidRPr="004E53CF">
        <w:rPr>
          <w:rFonts w:eastAsia="Times New Roman"/>
          <w:bCs/>
          <w:lang w:eastAsia="ru-RU"/>
        </w:rPr>
        <w:t xml:space="preserve"> Арави</w:t>
      </w:r>
      <w:r>
        <w:rPr>
          <w:rFonts w:eastAsia="Times New Roman"/>
          <w:bCs/>
          <w:lang w:eastAsia="ru-RU"/>
        </w:rPr>
        <w:t>и</w:t>
      </w:r>
      <w:r w:rsidRPr="004E53CF">
        <w:rPr>
          <w:rFonts w:eastAsia="Times New Roman"/>
          <w:bCs/>
          <w:lang w:eastAsia="ru-RU"/>
        </w:rPr>
        <w:t xml:space="preserve"> ($4,2 млрд</w:t>
      </w:r>
      <w:r>
        <w:rPr>
          <w:rFonts w:eastAsia="Times New Roman"/>
          <w:bCs/>
          <w:lang w:eastAsia="ru-RU"/>
        </w:rPr>
        <w:t xml:space="preserve"> на конец первого полугодия 2025 г.</w:t>
      </w:r>
      <w:r w:rsidRPr="004E53CF">
        <w:rPr>
          <w:rFonts w:eastAsia="Times New Roman"/>
          <w:bCs/>
          <w:lang w:eastAsia="ru-RU"/>
        </w:rPr>
        <w:t>)</w:t>
      </w:r>
      <w:r w:rsidRPr="00C12444">
        <w:rPr>
          <w:rFonts w:eastAsia="Times New Roman"/>
          <w:lang w:eastAsia="ru-RU"/>
        </w:rPr>
        <w:t xml:space="preserve">, </w:t>
      </w:r>
      <w:r w:rsidRPr="004E53CF">
        <w:rPr>
          <w:rFonts w:eastAsia="Times New Roman"/>
          <w:bCs/>
          <w:lang w:eastAsia="ru-RU"/>
        </w:rPr>
        <w:t>Катар</w:t>
      </w:r>
      <w:r>
        <w:rPr>
          <w:rFonts w:eastAsia="Times New Roman"/>
          <w:bCs/>
          <w:lang w:eastAsia="ru-RU"/>
        </w:rPr>
        <w:t>а</w:t>
      </w:r>
      <w:r w:rsidRPr="004E53CF">
        <w:rPr>
          <w:rFonts w:eastAsia="Times New Roman"/>
          <w:bCs/>
          <w:lang w:eastAsia="ru-RU"/>
        </w:rPr>
        <w:t xml:space="preserve"> ($2,4 млрд)</w:t>
      </w:r>
      <w:r w:rsidRPr="00C12444">
        <w:rPr>
          <w:rFonts w:eastAsia="Times New Roman"/>
          <w:lang w:eastAsia="ru-RU"/>
        </w:rPr>
        <w:t xml:space="preserve"> и </w:t>
      </w:r>
      <w:r w:rsidRPr="004E53CF">
        <w:rPr>
          <w:rFonts w:eastAsia="Times New Roman"/>
          <w:bCs/>
          <w:lang w:eastAsia="ru-RU"/>
        </w:rPr>
        <w:t>Оман</w:t>
      </w:r>
      <w:r>
        <w:rPr>
          <w:rFonts w:eastAsia="Times New Roman"/>
          <w:bCs/>
          <w:lang w:eastAsia="ru-RU"/>
        </w:rPr>
        <w:t>а</w:t>
      </w:r>
      <w:r w:rsidRPr="004E53CF">
        <w:rPr>
          <w:rFonts w:eastAsia="Times New Roman"/>
          <w:bCs/>
          <w:lang w:eastAsia="ru-RU"/>
        </w:rPr>
        <w:t xml:space="preserve"> ($1,1 млрд)</w:t>
      </w:r>
      <w:r w:rsidRPr="00C12444">
        <w:rPr>
          <w:rFonts w:eastAsia="Times New Roman"/>
          <w:lang w:eastAsia="ru-RU"/>
        </w:rPr>
        <w:t>.</w:t>
      </w:r>
      <w:r w:rsidR="00FF7FDC">
        <w:rPr>
          <w:rFonts w:eastAsia="Times New Roman"/>
          <w:lang w:eastAsia="ru-RU"/>
        </w:rPr>
        <w:t xml:space="preserve"> </w:t>
      </w:r>
      <w:r w:rsidR="00FF7FDC" w:rsidRPr="009E6663">
        <w:t xml:space="preserve">Почти 96% всех </w:t>
      </w:r>
      <w:r w:rsidR="00FF7FDC" w:rsidRPr="00FF7FDC">
        <w:t>инвестиций из стран Залива в Евразийский регион приходятся на страны Центральной Азии. Кроме этого, страны Залива инвестируют в экономики Азербайджана (</w:t>
      </w:r>
      <w:r w:rsidR="00F66498" w:rsidRPr="00F66498">
        <w:t>$</w:t>
      </w:r>
      <w:r w:rsidR="00041C9B">
        <w:t>0,6 млрд</w:t>
      </w:r>
      <w:r w:rsidR="00FF7FDC" w:rsidRPr="00FF7FDC">
        <w:t>), Армении (</w:t>
      </w:r>
      <w:r w:rsidR="00F66498" w:rsidRPr="00F66498">
        <w:t>$</w:t>
      </w:r>
      <w:r w:rsidR="00041C9B">
        <w:t>0,17 млрд</w:t>
      </w:r>
      <w:r w:rsidR="00FF7FDC" w:rsidRPr="00FF7FDC">
        <w:t>), Грузии (</w:t>
      </w:r>
      <w:r w:rsidR="00F66498" w:rsidRPr="00F66498">
        <w:t>$</w:t>
      </w:r>
      <w:r w:rsidR="00041C9B">
        <w:t>0,16</w:t>
      </w:r>
      <w:r w:rsidR="00FF7FDC" w:rsidRPr="00FF7FDC">
        <w:t xml:space="preserve"> мл</w:t>
      </w:r>
      <w:r w:rsidR="00041C9B">
        <w:t>рд</w:t>
      </w:r>
      <w:r w:rsidR="00FF7FDC" w:rsidRPr="00FF7FDC">
        <w:t>), Кыргызстана (</w:t>
      </w:r>
      <w:r w:rsidR="00F66498" w:rsidRPr="00F66498">
        <w:t>$</w:t>
      </w:r>
      <w:r w:rsidR="00041C9B">
        <w:t>0,1 млрд</w:t>
      </w:r>
      <w:r w:rsidR="00FF7FDC" w:rsidRPr="00FF7FDC">
        <w:t>) и</w:t>
      </w:r>
      <w:r w:rsidR="00D025F5">
        <w:t xml:space="preserve"> </w:t>
      </w:r>
      <w:r w:rsidR="00122842">
        <w:t>др</w:t>
      </w:r>
      <w:r w:rsidR="00FF7FDC" w:rsidRPr="00FF7FDC">
        <w:t>.</w:t>
      </w:r>
    </w:p>
    <w:p w14:paraId="1CCA5490" w14:textId="77777777" w:rsidR="00BB2D4A" w:rsidRDefault="00BB2D4A" w:rsidP="00FF7FDC">
      <w:pPr>
        <w:pStyle w:val="AZA-Text"/>
      </w:pPr>
    </w:p>
    <w:p w14:paraId="249F274B" w14:textId="466F9780" w:rsidR="00FF7FDC" w:rsidRPr="00FF7FDC" w:rsidRDefault="00FF7FDC" w:rsidP="00FF7FDC">
      <w:pPr>
        <w:pStyle w:val="AZA-Text"/>
        <w:rPr>
          <w:i/>
          <w:iCs/>
          <w:color w:val="0070C0"/>
        </w:rPr>
      </w:pPr>
      <w:r w:rsidRPr="00FF7FDC">
        <w:rPr>
          <w:color w:val="0070C0"/>
        </w:rPr>
        <w:lastRenderedPageBreak/>
        <w:t>Динамика накопленных прямых инвестиций из стран Залива в Евразийско</w:t>
      </w:r>
      <w:r>
        <w:rPr>
          <w:color w:val="0070C0"/>
        </w:rPr>
        <w:t>м</w:t>
      </w:r>
      <w:r w:rsidRPr="00FF7FDC">
        <w:rPr>
          <w:color w:val="0070C0"/>
        </w:rPr>
        <w:t xml:space="preserve"> регион</w:t>
      </w:r>
      <w:r>
        <w:rPr>
          <w:color w:val="0070C0"/>
        </w:rPr>
        <w:t>е</w:t>
      </w:r>
      <w:r w:rsidRPr="00FF7FDC">
        <w:rPr>
          <w:color w:val="0070C0"/>
        </w:rPr>
        <w:t>, млрд долл.</w:t>
      </w:r>
    </w:p>
    <w:p w14:paraId="08B334AD" w14:textId="4F53160D" w:rsidR="00FF7FDC" w:rsidRPr="00AE7535" w:rsidRDefault="00850475" w:rsidP="00FF7FDC">
      <w:pPr>
        <w:jc w:val="center"/>
      </w:pPr>
      <w:r>
        <w:rPr>
          <w:noProof/>
          <w:lang w:eastAsia="ru-RU"/>
        </w:rPr>
        <w:drawing>
          <wp:inline distT="0" distB="0" distL="0" distR="0" wp14:anchorId="7A65E980" wp14:editId="48A40BD5">
            <wp:extent cx="5940425" cy="2732215"/>
            <wp:effectExtent l="0" t="0" r="3175" b="0"/>
            <wp:docPr id="3" name="Рисунок 3" descr="EDB_MVI_26-2_Graph_2026-01-26_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B_MVI_26-2_Graph_2026-01-26_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3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A70DF" w14:textId="70794F9D" w:rsidR="00FF7FDC" w:rsidRDefault="00FF7FDC" w:rsidP="00FF7FDC">
      <w:pPr>
        <w:pStyle w:val="AZA-Text"/>
        <w:spacing w:before="0"/>
      </w:pPr>
      <w:r w:rsidRPr="00AE7535">
        <w:t>Источник: База данных МВИ ЕАБР</w:t>
      </w:r>
    </w:p>
    <w:p w14:paraId="78F023D5" w14:textId="4A2157FC" w:rsidR="00A44D6B" w:rsidRDefault="00A44D6B" w:rsidP="00FF7FDC">
      <w:pPr>
        <w:pStyle w:val="AZA-Text"/>
        <w:spacing w:before="0"/>
      </w:pPr>
    </w:p>
    <w:p w14:paraId="62742F00" w14:textId="1D8A61E4" w:rsidR="009E2E7B" w:rsidRPr="00804DFB" w:rsidRDefault="00A44D6B" w:rsidP="009E2E7B">
      <w:pPr>
        <w:pStyle w:val="AZA-Text"/>
        <w:spacing w:before="120" w:after="120"/>
        <w:rPr>
          <w:i/>
        </w:rPr>
      </w:pPr>
      <w:r>
        <w:rPr>
          <w:i/>
        </w:rPr>
        <w:t>«</w:t>
      </w:r>
      <w:r w:rsidRPr="00A44D6B">
        <w:rPr>
          <w:i/>
        </w:rPr>
        <w:t xml:space="preserve">Мы наблюдаем устойчивый рост </w:t>
      </w:r>
      <w:r>
        <w:rPr>
          <w:i/>
        </w:rPr>
        <w:t xml:space="preserve">инвестиционных </w:t>
      </w:r>
      <w:r w:rsidRPr="00A44D6B">
        <w:rPr>
          <w:i/>
        </w:rPr>
        <w:t xml:space="preserve">связей между государствами </w:t>
      </w:r>
      <w:r>
        <w:rPr>
          <w:i/>
        </w:rPr>
        <w:t>З</w:t>
      </w:r>
      <w:r w:rsidRPr="00A44D6B">
        <w:rPr>
          <w:i/>
        </w:rPr>
        <w:t xml:space="preserve">алива и </w:t>
      </w:r>
      <w:r>
        <w:rPr>
          <w:i/>
        </w:rPr>
        <w:t>Евразийского региона</w:t>
      </w:r>
      <w:r w:rsidRPr="00A44D6B">
        <w:rPr>
          <w:i/>
        </w:rPr>
        <w:t xml:space="preserve">. </w:t>
      </w:r>
      <w:r w:rsidR="00BD044F">
        <w:rPr>
          <w:i/>
        </w:rPr>
        <w:t>О</w:t>
      </w:r>
      <w:r w:rsidRPr="00A44D6B">
        <w:rPr>
          <w:i/>
        </w:rPr>
        <w:t xml:space="preserve">жидаем, что эта высокая </w:t>
      </w:r>
      <w:r>
        <w:rPr>
          <w:i/>
        </w:rPr>
        <w:t xml:space="preserve">инвестиционная </w:t>
      </w:r>
      <w:r w:rsidRPr="00A44D6B">
        <w:rPr>
          <w:i/>
        </w:rPr>
        <w:t xml:space="preserve">динамика сохранится в </w:t>
      </w:r>
      <w:r>
        <w:rPr>
          <w:i/>
        </w:rPr>
        <w:t xml:space="preserve">среднесрочной перспективе </w:t>
      </w:r>
      <w:r w:rsidR="00F66498" w:rsidRPr="00F66498">
        <w:rPr>
          <w:i/>
        </w:rPr>
        <w:t xml:space="preserve">– </w:t>
      </w:r>
      <w:r w:rsidR="00F66498">
        <w:rPr>
          <w:i/>
        </w:rPr>
        <w:t xml:space="preserve">в среднем </w:t>
      </w:r>
      <w:r>
        <w:rPr>
          <w:i/>
        </w:rPr>
        <w:t xml:space="preserve">по </w:t>
      </w:r>
      <w:r w:rsidR="0053171E">
        <w:rPr>
          <w:i/>
        </w:rPr>
        <w:t>15</w:t>
      </w:r>
      <w:bookmarkStart w:id="0" w:name="_GoBack"/>
      <w:bookmarkEnd w:id="0"/>
      <w:r w:rsidRPr="00A44D6B">
        <w:rPr>
          <w:i/>
        </w:rPr>
        <w:t xml:space="preserve">% в год. Этому </w:t>
      </w:r>
      <w:r>
        <w:rPr>
          <w:i/>
        </w:rPr>
        <w:t xml:space="preserve">будут </w:t>
      </w:r>
      <w:r w:rsidRPr="00A44D6B">
        <w:rPr>
          <w:i/>
        </w:rPr>
        <w:t>способств</w:t>
      </w:r>
      <w:r>
        <w:rPr>
          <w:i/>
        </w:rPr>
        <w:t>овать</w:t>
      </w:r>
      <w:r w:rsidRPr="00A44D6B">
        <w:rPr>
          <w:i/>
        </w:rPr>
        <w:t xml:space="preserve"> несколько факторов: значительный портфель проектов, готовящихся к запуску, и укрепление политических и экономическ</w:t>
      </w:r>
      <w:r>
        <w:rPr>
          <w:i/>
        </w:rPr>
        <w:t>их связей между нашими странами</w:t>
      </w:r>
      <w:r w:rsidR="00035FA5">
        <w:rPr>
          <w:i/>
        </w:rPr>
        <w:t>. Из стран Залива идут инвестиции «зрелого типа» - компании-инвесторы приходят со своими продвинутыми технологиями и способствуют развитию высоких компетенций в соответствующих отраслях стран региона</w:t>
      </w:r>
      <w:r>
        <w:rPr>
          <w:i/>
        </w:rPr>
        <w:t xml:space="preserve">» </w:t>
      </w:r>
      <w:r w:rsidR="009E2E7B" w:rsidRPr="005B34EF">
        <w:t xml:space="preserve">– </w:t>
      </w:r>
      <w:r w:rsidR="009E2E7B" w:rsidRPr="005B34EF">
        <w:rPr>
          <w:b/>
        </w:rPr>
        <w:t>прокомментировал Евгений Винокуров – главный экономист ЕАБР.</w:t>
      </w:r>
    </w:p>
    <w:p w14:paraId="571F4DC4" w14:textId="784BC7F4" w:rsidR="00FF7FDC" w:rsidRPr="00AE7535" w:rsidRDefault="00FC02AE" w:rsidP="00FF7FDC">
      <w:pPr>
        <w:pStyle w:val="AZA-Text"/>
      </w:pPr>
      <w:r w:rsidRPr="00402ACB">
        <w:rPr>
          <w:b/>
        </w:rPr>
        <w:t xml:space="preserve">Центральная Азия </w:t>
      </w:r>
      <w:r w:rsidR="00402ACB" w:rsidRPr="00402ACB">
        <w:rPr>
          <w:b/>
        </w:rPr>
        <w:t>наиболее привлекательна для азиатских инвесторов.</w:t>
      </w:r>
      <w:r w:rsidR="00402ACB">
        <w:t xml:space="preserve"> </w:t>
      </w:r>
      <w:r w:rsidRPr="00AE7535">
        <w:t xml:space="preserve">Накопленные </w:t>
      </w:r>
      <w:r w:rsidR="00402ACB">
        <w:t xml:space="preserve">привлеченные </w:t>
      </w:r>
      <w:r w:rsidRPr="00AE7535">
        <w:t xml:space="preserve">инвестиции </w:t>
      </w:r>
      <w:r w:rsidR="00402ACB">
        <w:t xml:space="preserve">из </w:t>
      </w:r>
      <w:r w:rsidR="00F66498">
        <w:t xml:space="preserve">азиатских </w:t>
      </w:r>
      <w:r>
        <w:t>стран</w:t>
      </w:r>
      <w:r w:rsidR="00F66498">
        <w:t xml:space="preserve"> </w:t>
      </w:r>
      <w:r w:rsidRPr="00AE7535">
        <w:t>в экономик</w:t>
      </w:r>
      <w:r w:rsidR="00402ACB">
        <w:t>у</w:t>
      </w:r>
      <w:r w:rsidRPr="00AE7535">
        <w:t xml:space="preserve"> Центральной Азии в период с 2016 г. по первое полугодие 2025 г. увеличились в 2,3 раза - с </w:t>
      </w:r>
      <w:r w:rsidR="00F66498" w:rsidRPr="00F66498">
        <w:t>$</w:t>
      </w:r>
      <w:r w:rsidRPr="00AE7535">
        <w:rPr>
          <w:b/>
        </w:rPr>
        <w:t xml:space="preserve">29,9 млрд до </w:t>
      </w:r>
      <w:r w:rsidR="00F66498" w:rsidRPr="00F66498">
        <w:rPr>
          <w:b/>
        </w:rPr>
        <w:t>$</w:t>
      </w:r>
      <w:r w:rsidR="00F66498">
        <w:rPr>
          <w:b/>
        </w:rPr>
        <w:t>68 млрд</w:t>
      </w:r>
      <w:r w:rsidRPr="00AE7535">
        <w:rPr>
          <w:b/>
        </w:rPr>
        <w:t>.</w:t>
      </w:r>
      <w:r w:rsidRPr="00AE7535">
        <w:t xml:space="preserve"> По итогам первого полугодия 2025 г. </w:t>
      </w:r>
      <w:r w:rsidR="00402ACB">
        <w:t xml:space="preserve">на Центральную Азию приходилось </w:t>
      </w:r>
      <w:r w:rsidRPr="00AE7535">
        <w:rPr>
          <w:b/>
        </w:rPr>
        <w:t>до 57%</w:t>
      </w:r>
      <w:r w:rsidRPr="00AE7535">
        <w:t xml:space="preserve"> </w:t>
      </w:r>
      <w:r w:rsidR="00402ACB">
        <w:t xml:space="preserve">от общего объема накопленных прямых </w:t>
      </w:r>
      <w:r w:rsidR="006F5C44">
        <w:t xml:space="preserve">инвестиций, привлеченных из азиатских стран. </w:t>
      </w:r>
      <w:r w:rsidR="00FF7FDC" w:rsidRPr="00AE7535">
        <w:t xml:space="preserve">Основной объем вложений (92%) приходится на три страны - </w:t>
      </w:r>
      <w:r w:rsidR="00FF7FDC" w:rsidRPr="000F1956">
        <w:rPr>
          <w:b/>
        </w:rPr>
        <w:t>Узбекистан</w:t>
      </w:r>
      <w:r w:rsidR="00FF7FDC" w:rsidRPr="00AE7535">
        <w:t xml:space="preserve"> (</w:t>
      </w:r>
      <w:r w:rsidR="00F66498" w:rsidRPr="00F66498">
        <w:t>$</w:t>
      </w:r>
      <w:r w:rsidR="00FF7FDC" w:rsidRPr="00AE7535">
        <w:t xml:space="preserve">22,6 млрд), </w:t>
      </w:r>
      <w:r w:rsidR="00FF7FDC" w:rsidRPr="000F1956">
        <w:rPr>
          <w:b/>
        </w:rPr>
        <w:t>Туркменистан</w:t>
      </w:r>
      <w:r w:rsidR="00FF7FDC" w:rsidRPr="00AE7535">
        <w:t xml:space="preserve"> (</w:t>
      </w:r>
      <w:r w:rsidR="00F66498" w:rsidRPr="00F66498">
        <w:t>$</w:t>
      </w:r>
      <w:r w:rsidR="00F66498">
        <w:t>20,6 млрд</w:t>
      </w:r>
      <w:r w:rsidR="00FF7FDC" w:rsidRPr="00AE7535">
        <w:t xml:space="preserve">) и </w:t>
      </w:r>
      <w:r w:rsidR="00FF7FDC" w:rsidRPr="000F1956">
        <w:rPr>
          <w:b/>
        </w:rPr>
        <w:t>Казахстан</w:t>
      </w:r>
      <w:r w:rsidR="00FF7FDC" w:rsidRPr="00AE7535">
        <w:t xml:space="preserve"> (</w:t>
      </w:r>
      <w:r w:rsidR="00F66498" w:rsidRPr="00F66498">
        <w:t>$</w:t>
      </w:r>
      <w:r w:rsidR="00FF7FDC" w:rsidRPr="00AE7535">
        <w:t>19,3 млрд).</w:t>
      </w:r>
    </w:p>
    <w:p w14:paraId="60359F10" w14:textId="6DCC5E12" w:rsidR="00FF7FDC" w:rsidRDefault="00FF7FDC" w:rsidP="00FF7FDC">
      <w:pPr>
        <w:pStyle w:val="AZA-Text"/>
      </w:pPr>
      <w:r>
        <w:t>Самые быстрые</w:t>
      </w:r>
      <w:r w:rsidRPr="00AE7535">
        <w:t xml:space="preserve"> темпы привлечения инвестиций демонстрирует </w:t>
      </w:r>
      <w:r w:rsidRPr="000F1956">
        <w:rPr>
          <w:b/>
        </w:rPr>
        <w:t>Узбекистан</w:t>
      </w:r>
      <w:r w:rsidRPr="00AE7535">
        <w:t xml:space="preserve">, </w:t>
      </w:r>
      <w:r>
        <w:t xml:space="preserve">увеличивший </w:t>
      </w:r>
      <w:r w:rsidRPr="00AE7535">
        <w:t xml:space="preserve">объем накопленных ПИИ </w:t>
      </w:r>
      <w:r>
        <w:t xml:space="preserve">из азиатских </w:t>
      </w:r>
      <w:r w:rsidR="00F66498">
        <w:t xml:space="preserve">стран </w:t>
      </w:r>
      <w:r w:rsidRPr="00AE7535">
        <w:t>более</w:t>
      </w:r>
      <w:r w:rsidR="00F66498">
        <w:t>,</w:t>
      </w:r>
      <w:r w:rsidRPr="00AE7535">
        <w:t xml:space="preserve"> чем в 45 раз</w:t>
      </w:r>
      <w:r>
        <w:t xml:space="preserve"> по сравнению с 2016 г.</w:t>
      </w:r>
      <w:r w:rsidRPr="00AE7535">
        <w:t xml:space="preserve"> </w:t>
      </w:r>
      <w:r>
        <w:t xml:space="preserve">Только </w:t>
      </w:r>
      <w:r w:rsidR="00F66498">
        <w:t>в 2024-2025 гг.</w:t>
      </w:r>
      <w:r w:rsidRPr="00AE7535">
        <w:t xml:space="preserve"> объем инвестиций в страну удвоился - с </w:t>
      </w:r>
      <w:r w:rsidR="00F66498" w:rsidRPr="00F66498">
        <w:t>$</w:t>
      </w:r>
      <w:r w:rsidRPr="00AE7535">
        <w:t xml:space="preserve">11,0 </w:t>
      </w:r>
      <w:r w:rsidR="00F66498">
        <w:t xml:space="preserve">млрд. </w:t>
      </w:r>
      <w:r w:rsidRPr="00AE7535">
        <w:t xml:space="preserve">до </w:t>
      </w:r>
      <w:r w:rsidR="00F66498" w:rsidRPr="00854DD1">
        <w:t>$</w:t>
      </w:r>
      <w:r w:rsidRPr="00AE7535">
        <w:t xml:space="preserve">22,6 млрд. </w:t>
      </w:r>
      <w:r>
        <w:t xml:space="preserve">Узбекистан </w:t>
      </w:r>
      <w:r w:rsidRPr="00AE7535">
        <w:t xml:space="preserve">обеспечил </w:t>
      </w:r>
      <w:r>
        <w:t xml:space="preserve">около </w:t>
      </w:r>
      <w:r w:rsidRPr="00AE7535">
        <w:t>62% совокупного прироста инвестиций в</w:t>
      </w:r>
      <w:r>
        <w:t xml:space="preserve"> </w:t>
      </w:r>
      <w:r w:rsidRPr="00AE7535">
        <w:t>Центральн</w:t>
      </w:r>
      <w:r>
        <w:t>ую</w:t>
      </w:r>
      <w:r w:rsidRPr="00AE7535">
        <w:t xml:space="preserve"> Ази</w:t>
      </w:r>
      <w:r>
        <w:t xml:space="preserve">ю, что стало </w:t>
      </w:r>
      <w:r w:rsidRPr="00AE7535">
        <w:t>отражением улучшения инвестиционного климата</w:t>
      </w:r>
      <w:r>
        <w:t>,</w:t>
      </w:r>
      <w:r w:rsidRPr="00AE7535">
        <w:t xml:space="preserve"> промышленной модернизации и энергетической трансформации</w:t>
      </w:r>
      <w:r w:rsidRPr="006F5C44">
        <w:t xml:space="preserve"> </w:t>
      </w:r>
      <w:r>
        <w:t>в стране</w:t>
      </w:r>
      <w:r w:rsidRPr="00AE7535">
        <w:t>.</w:t>
      </w:r>
    </w:p>
    <w:p w14:paraId="5441C8B5" w14:textId="77777777" w:rsidR="00BB2D4A" w:rsidRPr="00AE7535" w:rsidRDefault="00BB2D4A" w:rsidP="00FF7FDC">
      <w:pPr>
        <w:pStyle w:val="AZA-Text"/>
      </w:pPr>
    </w:p>
    <w:p w14:paraId="626FB028" w14:textId="42ED92B2" w:rsidR="00FC02AE" w:rsidRPr="006F5C44" w:rsidRDefault="00FC02AE" w:rsidP="00402ACB">
      <w:pPr>
        <w:pStyle w:val="AZA-Text"/>
        <w:rPr>
          <w:color w:val="0070C0"/>
        </w:rPr>
      </w:pPr>
      <w:r w:rsidRPr="006F5C44">
        <w:rPr>
          <w:color w:val="0070C0"/>
        </w:rPr>
        <w:lastRenderedPageBreak/>
        <w:t xml:space="preserve">Накопленные </w:t>
      </w:r>
      <w:r w:rsidR="006F5C44" w:rsidRPr="006F5C44">
        <w:rPr>
          <w:color w:val="0070C0"/>
        </w:rPr>
        <w:t xml:space="preserve">привлеченные </w:t>
      </w:r>
      <w:r w:rsidRPr="006F5C44">
        <w:rPr>
          <w:color w:val="0070C0"/>
        </w:rPr>
        <w:t xml:space="preserve">инвестиции из </w:t>
      </w:r>
      <w:r w:rsidR="006F5C44" w:rsidRPr="006F5C44">
        <w:rPr>
          <w:color w:val="0070C0"/>
        </w:rPr>
        <w:t xml:space="preserve">азиатских </w:t>
      </w:r>
      <w:r w:rsidRPr="006F5C44">
        <w:rPr>
          <w:color w:val="0070C0"/>
        </w:rPr>
        <w:t>стран-партнеров в государствах Центральной Азии</w:t>
      </w:r>
    </w:p>
    <w:p w14:paraId="71C5D7BA" w14:textId="5548014B" w:rsidR="00FC02AE" w:rsidRPr="00AE7535" w:rsidRDefault="00402ACB" w:rsidP="00FF7FDC">
      <w:pPr>
        <w:pStyle w:val="AZA-Text"/>
        <w:spacing w:before="0"/>
      </w:pPr>
      <w:r>
        <w:rPr>
          <w:noProof/>
          <w:lang w:eastAsia="ru-RU"/>
        </w:rPr>
        <w:drawing>
          <wp:inline distT="0" distB="0" distL="0" distR="0" wp14:anchorId="54DB59EB" wp14:editId="2028ED04">
            <wp:extent cx="5940425" cy="2741735"/>
            <wp:effectExtent l="0" t="0" r="3175" b="1905"/>
            <wp:docPr id="1" name="Рисунок 1" descr="EDB_MVI_26-2_Graph_2026-01-22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B_MVI_26-2_Graph_2026-01-22_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4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1FBAC" w14:textId="77777777" w:rsidR="00FC02AE" w:rsidRPr="00AE7535" w:rsidRDefault="00FC02AE" w:rsidP="00402ACB">
      <w:pPr>
        <w:pStyle w:val="AZA-Text"/>
        <w:spacing w:before="0"/>
      </w:pPr>
      <w:r w:rsidRPr="00AE7535">
        <w:t>Источник: База данных МВИ ЕАБР</w:t>
      </w:r>
    </w:p>
    <w:p w14:paraId="07AD02C2" w14:textId="7EC4547F" w:rsidR="00FF7FDC" w:rsidRPr="00AE7535" w:rsidRDefault="00FF7FDC" w:rsidP="00FF7FDC">
      <w:pPr>
        <w:pStyle w:val="AZA-Text"/>
      </w:pPr>
      <w:r w:rsidRPr="00D025F5">
        <w:rPr>
          <w:b/>
        </w:rPr>
        <w:t>Страны Евразийского региона активно инвестируют в странах Азии</w:t>
      </w:r>
      <w:r w:rsidRPr="00AE7535">
        <w:t xml:space="preserve">. По состоянию на конец первого полугодия 2025 г. объем их ПИИ в </w:t>
      </w:r>
      <w:r>
        <w:t xml:space="preserve">азиатских </w:t>
      </w:r>
      <w:r w:rsidRPr="00AE7535">
        <w:t xml:space="preserve">странах-партнерах достиг </w:t>
      </w:r>
      <w:r w:rsidR="00854DD1" w:rsidRPr="00854DD1">
        <w:t>$</w:t>
      </w:r>
      <w:r w:rsidRPr="000F1956">
        <w:rPr>
          <w:b/>
        </w:rPr>
        <w:t>56,6 млрд,</w:t>
      </w:r>
      <w:r w:rsidRPr="00AE7535">
        <w:t xml:space="preserve"> увеличившись на 12,5% за последние полтора года.</w:t>
      </w:r>
    </w:p>
    <w:p w14:paraId="79D7FCAC" w14:textId="64CA8128" w:rsidR="00FF7FDC" w:rsidRDefault="00FF7FDC" w:rsidP="00FF7FDC">
      <w:pPr>
        <w:pStyle w:val="AZA-Text"/>
      </w:pPr>
      <w:r w:rsidRPr="00AE7535">
        <w:t xml:space="preserve">Ключевыми инвесторами из Евразийского региона выступают Россия и Азербайджан, на которые приходится 72% и 23% </w:t>
      </w:r>
      <w:r w:rsidR="00854DD1">
        <w:t>объема ПИИ</w:t>
      </w:r>
      <w:r w:rsidRPr="00AE7535">
        <w:t xml:space="preserve"> соответственно. География </w:t>
      </w:r>
      <w:r w:rsidR="00854DD1">
        <w:t>стран-получателей включает</w:t>
      </w:r>
      <w:r w:rsidRPr="00AE7535">
        <w:t xml:space="preserve"> Турци</w:t>
      </w:r>
      <w:r w:rsidR="00854DD1">
        <w:t>ю</w:t>
      </w:r>
      <w:r w:rsidRPr="00AE7535">
        <w:t xml:space="preserve"> (78% </w:t>
      </w:r>
      <w:r w:rsidR="00854DD1">
        <w:t>экспорта</w:t>
      </w:r>
      <w:r>
        <w:t xml:space="preserve"> </w:t>
      </w:r>
      <w:r w:rsidRPr="00AE7535">
        <w:t>инвестиций</w:t>
      </w:r>
      <w:r>
        <w:t xml:space="preserve"> из стран Евразийского региона</w:t>
      </w:r>
      <w:r w:rsidRPr="00AE7535">
        <w:t>), Инди</w:t>
      </w:r>
      <w:r w:rsidR="00854DD1">
        <w:t>ю</w:t>
      </w:r>
      <w:r w:rsidRPr="00AE7535">
        <w:t xml:space="preserve"> (12%), Вьетнам (4%) и Китай (2%).</w:t>
      </w:r>
    </w:p>
    <w:p w14:paraId="65E72A97" w14:textId="5CBFC244" w:rsidR="00520948" w:rsidRPr="00AE7535" w:rsidRDefault="00520948" w:rsidP="00520948">
      <w:pPr>
        <w:pStyle w:val="AZA-Text"/>
      </w:pPr>
      <w:r w:rsidRPr="00AE7535">
        <w:rPr>
          <w:b/>
        </w:rPr>
        <w:t>Турция</w:t>
      </w:r>
      <w:r w:rsidRPr="00AE7535">
        <w:t xml:space="preserve"> </w:t>
      </w:r>
      <w:r>
        <w:t xml:space="preserve">- </w:t>
      </w:r>
      <w:r w:rsidRPr="00AE7535">
        <w:t>крупнейши</w:t>
      </w:r>
      <w:r>
        <w:t>й</w:t>
      </w:r>
      <w:r w:rsidRPr="00AE7535">
        <w:t xml:space="preserve"> получател</w:t>
      </w:r>
      <w:r>
        <w:t>ь</w:t>
      </w:r>
      <w:r w:rsidRPr="00AE7535">
        <w:t xml:space="preserve"> инвестиций</w:t>
      </w:r>
      <w:r>
        <w:t xml:space="preserve">. Объем накопленных </w:t>
      </w:r>
      <w:r w:rsidRPr="00AE7535">
        <w:t>вложений</w:t>
      </w:r>
      <w:r w:rsidR="00854DD1">
        <w:t xml:space="preserve"> из стран Евразийского региона </w:t>
      </w:r>
      <w:r w:rsidRPr="00AE7535">
        <w:t>достиг 44 млрд долл. Основной вклад обеспечивают российские и азербайджанские компании, преимущественно в энергетическом и нефтеперерабатывающем секторах. В последние годы к числу активных инвесторов в Турции присоединился Казахстан.</w:t>
      </w:r>
    </w:p>
    <w:p w14:paraId="7059CF33" w14:textId="50E45583" w:rsidR="00520948" w:rsidRPr="00AE7535" w:rsidRDefault="00520948" w:rsidP="00520948">
      <w:pPr>
        <w:pStyle w:val="AZA-Text"/>
      </w:pPr>
      <w:r>
        <w:t>Объем и</w:t>
      </w:r>
      <w:r w:rsidRPr="00AE7535">
        <w:t>нвестици</w:t>
      </w:r>
      <w:r>
        <w:t>й</w:t>
      </w:r>
      <w:r w:rsidRPr="00AE7535">
        <w:t xml:space="preserve"> стран Евразийского региона в </w:t>
      </w:r>
      <w:r w:rsidRPr="00AE7535">
        <w:rPr>
          <w:b/>
        </w:rPr>
        <w:t>Индию</w:t>
      </w:r>
      <w:r w:rsidRPr="00AE7535">
        <w:t xml:space="preserve"> увеличился более чем в с</w:t>
      </w:r>
      <w:r>
        <w:t>емь раз и достиг 6,6 млрд долл. Основные инвесторы – Россия, Казахстан и Азербайджан</w:t>
      </w:r>
      <w:r w:rsidRPr="00AE7535">
        <w:t>.</w:t>
      </w:r>
    </w:p>
    <w:p w14:paraId="406ECA65" w14:textId="4F3BDD07" w:rsidR="00520948" w:rsidRDefault="00520948" w:rsidP="00520948">
      <w:pPr>
        <w:pStyle w:val="AZA-Text"/>
      </w:pPr>
      <w:r w:rsidRPr="00AE7535">
        <w:t>Объем инвестиций во</w:t>
      </w:r>
      <w:r w:rsidRPr="00AE7535">
        <w:rPr>
          <w:b/>
        </w:rPr>
        <w:t xml:space="preserve"> Вьетнам</w:t>
      </w:r>
      <w:r w:rsidRPr="00AE7535">
        <w:t xml:space="preserve"> </w:t>
      </w:r>
      <w:r>
        <w:t xml:space="preserve">достиг </w:t>
      </w:r>
      <w:r w:rsidR="00854DD1" w:rsidRPr="00854DD1">
        <w:t>$</w:t>
      </w:r>
      <w:r w:rsidRPr="00AE7535">
        <w:t xml:space="preserve">2,35 млрд. </w:t>
      </w:r>
      <w:r>
        <w:t xml:space="preserve">Основные инвесторы – Россия и Казахстан. </w:t>
      </w:r>
    </w:p>
    <w:p w14:paraId="360510E0" w14:textId="1020A6F6" w:rsidR="00520948" w:rsidRPr="00AE7535" w:rsidRDefault="00520948" w:rsidP="00520948">
      <w:pPr>
        <w:pStyle w:val="AZA-Text"/>
      </w:pPr>
      <w:r>
        <w:t xml:space="preserve">Растут инвестиции стран Центральной Азии (Казахстана, Туркменистана, Узбекистана) и Азербайджана в экономику </w:t>
      </w:r>
      <w:r w:rsidRPr="00520948">
        <w:rPr>
          <w:b/>
        </w:rPr>
        <w:t>Афганистана</w:t>
      </w:r>
      <w:r>
        <w:t xml:space="preserve">. </w:t>
      </w:r>
      <w:r w:rsidRPr="00AE7535">
        <w:t xml:space="preserve">Совокупный объем накопленных ПИИ достиг </w:t>
      </w:r>
      <w:r w:rsidR="00854DD1" w:rsidRPr="00854DD1">
        <w:t>$</w:t>
      </w:r>
      <w:r w:rsidRPr="00AE7535">
        <w:rPr>
          <w:bCs/>
        </w:rPr>
        <w:t>190 млн.</w:t>
      </w:r>
      <w:r w:rsidRPr="00AE7535">
        <w:t xml:space="preserve"> на конец первого полугодия 2025 г.</w:t>
      </w:r>
    </w:p>
    <w:p w14:paraId="31D84E29" w14:textId="77777777" w:rsidR="00035FA5" w:rsidRDefault="00520948" w:rsidP="00035FA5">
      <w:pPr>
        <w:pStyle w:val="AZA-Text"/>
      </w:pPr>
      <w:r>
        <w:t>Н</w:t>
      </w:r>
      <w:r w:rsidR="00FC02AE" w:rsidRPr="00AE7535">
        <w:t xml:space="preserve">аблюдается устойчивый структурный сдвиг от доминирования сырьевых отраслей к более диверсифицированной инвестиционной модели. </w:t>
      </w:r>
      <w:r w:rsidR="00035FA5" w:rsidRPr="00035FA5">
        <w:rPr>
          <w:b/>
        </w:rPr>
        <w:t>Обрабатывающая промышленность</w:t>
      </w:r>
      <w:r w:rsidR="00035FA5" w:rsidRPr="00035FA5">
        <w:t xml:space="preserve"> к середине 2025 г. достигла </w:t>
      </w:r>
      <w:r w:rsidR="00035FA5" w:rsidRPr="00035FA5">
        <w:rPr>
          <w:b/>
          <w:bCs/>
        </w:rPr>
        <w:t xml:space="preserve">23% </w:t>
      </w:r>
      <w:r w:rsidR="00035FA5" w:rsidRPr="00035FA5">
        <w:rPr>
          <w:bCs/>
        </w:rPr>
        <w:t>в структуре взаимных ПИИ</w:t>
      </w:r>
      <w:r w:rsidR="00035FA5" w:rsidRPr="00035FA5">
        <w:t>, являясь ключевым драйвером промышленной кооперации в Евразийском регионе.</w:t>
      </w:r>
    </w:p>
    <w:p w14:paraId="1DC2FD7C" w14:textId="7EFFB1DD" w:rsidR="00FC02AE" w:rsidRPr="00AE7535" w:rsidRDefault="00FC02AE" w:rsidP="00520948">
      <w:pPr>
        <w:pStyle w:val="AZA-Text"/>
      </w:pPr>
      <w:r w:rsidRPr="00AE7535">
        <w:lastRenderedPageBreak/>
        <w:t xml:space="preserve">За </w:t>
      </w:r>
      <w:r w:rsidR="00854DD1">
        <w:t xml:space="preserve">прошедшее </w:t>
      </w:r>
      <w:r w:rsidRPr="00AE7535">
        <w:t xml:space="preserve">десятилетие доля </w:t>
      </w:r>
      <w:r w:rsidR="00035FA5" w:rsidRPr="00B95826">
        <w:rPr>
          <w:b/>
        </w:rPr>
        <w:t>электро</w:t>
      </w:r>
      <w:r w:rsidRPr="00B95826">
        <w:rPr>
          <w:b/>
        </w:rPr>
        <w:t>энергетики</w:t>
      </w:r>
      <w:r w:rsidRPr="00AE7535">
        <w:t xml:space="preserve"> в структуре </w:t>
      </w:r>
      <w:r w:rsidR="00961874" w:rsidRPr="00961874">
        <w:t>привлеченны</w:t>
      </w:r>
      <w:r w:rsidR="00961874">
        <w:t>х инвестиций Евразийского региона</w:t>
      </w:r>
      <w:r w:rsidR="00961874" w:rsidRPr="00961874">
        <w:t xml:space="preserve"> увеличилась с 2% до 17%.</w:t>
      </w:r>
      <w:r w:rsidR="00961874" w:rsidRPr="00D025F5">
        <w:t xml:space="preserve"> </w:t>
      </w:r>
      <w:r w:rsidRPr="00AE7535">
        <w:t xml:space="preserve">Только за </w:t>
      </w:r>
      <w:r w:rsidR="00A44D6B">
        <w:t xml:space="preserve">последние </w:t>
      </w:r>
      <w:r>
        <w:t>полтора года</w:t>
      </w:r>
      <w:r w:rsidRPr="00AE7535">
        <w:t xml:space="preserve"> на </w:t>
      </w:r>
      <w:r w:rsidR="00035FA5">
        <w:t>электро</w:t>
      </w:r>
      <w:r w:rsidRPr="00AE7535">
        <w:t xml:space="preserve">энергетические проекты пришлось более половины </w:t>
      </w:r>
      <w:r w:rsidR="00A44D6B">
        <w:t xml:space="preserve">роста привлеченных </w:t>
      </w:r>
      <w:r w:rsidRPr="00AE7535">
        <w:t>инвестиций</w:t>
      </w:r>
      <w:r w:rsidR="00961874">
        <w:t xml:space="preserve"> </w:t>
      </w:r>
      <w:r w:rsidR="00A44D6B">
        <w:t>в стран</w:t>
      </w:r>
      <w:r w:rsidR="00961874">
        <w:t xml:space="preserve">ы </w:t>
      </w:r>
      <w:r w:rsidR="00A44D6B">
        <w:t xml:space="preserve">Евразийского региона </w:t>
      </w:r>
      <w:r w:rsidRPr="00AE7535">
        <w:t>(</w:t>
      </w:r>
      <w:r w:rsidR="00854DD1" w:rsidRPr="00854DD1">
        <w:t>$</w:t>
      </w:r>
      <w:r w:rsidRPr="00AE7535">
        <w:t xml:space="preserve">10,1 млрд из </w:t>
      </w:r>
      <w:r w:rsidR="00854DD1" w:rsidRPr="00854DD1">
        <w:t>$</w:t>
      </w:r>
      <w:r w:rsidRPr="00AE7535">
        <w:t>19,8 млрд).</w:t>
      </w:r>
    </w:p>
    <w:p w14:paraId="5C833737" w14:textId="0C25314A" w:rsidR="00FC02AE" w:rsidRPr="00AE7535" w:rsidRDefault="00FC02AE" w:rsidP="00520948">
      <w:pPr>
        <w:pStyle w:val="AZA-Text"/>
      </w:pPr>
      <w:r w:rsidRPr="00AE7535">
        <w:t>Наиболее активн</w:t>
      </w:r>
      <w:r w:rsidR="00854DD1">
        <w:t>о</w:t>
      </w:r>
      <w:r w:rsidRPr="00AE7535">
        <w:t xml:space="preserve"> инвест</w:t>
      </w:r>
      <w:r w:rsidR="00854DD1">
        <w:t xml:space="preserve">ируют в </w:t>
      </w:r>
      <w:r w:rsidR="00035FA5">
        <w:t>электро</w:t>
      </w:r>
      <w:r w:rsidR="00854DD1">
        <w:t>энергетику, в т.ч. ВИЭ,</w:t>
      </w:r>
      <w:r w:rsidRPr="00AE7535">
        <w:t xml:space="preserve"> </w:t>
      </w:r>
      <w:r w:rsidRPr="00AE7535">
        <w:rPr>
          <w:b/>
        </w:rPr>
        <w:t>страны Залива и Китай</w:t>
      </w:r>
      <w:r w:rsidRPr="00AE7535">
        <w:t xml:space="preserve">. </w:t>
      </w:r>
      <w:r w:rsidR="00854DD1">
        <w:t>И</w:t>
      </w:r>
      <w:r w:rsidRPr="00AE7535">
        <w:t>нвести</w:t>
      </w:r>
      <w:r w:rsidR="00854DD1">
        <w:t xml:space="preserve">ции, привлеченные из стран </w:t>
      </w:r>
      <w:r w:rsidR="00961874">
        <w:t>Залива,</w:t>
      </w:r>
      <w:r w:rsidR="00854DD1">
        <w:t xml:space="preserve"> составили </w:t>
      </w:r>
      <w:r w:rsidRPr="00AE7535">
        <w:t xml:space="preserve">около </w:t>
      </w:r>
      <w:r w:rsidR="00854DD1" w:rsidRPr="00854DD1">
        <w:t>$</w:t>
      </w:r>
      <w:r w:rsidRPr="00AE7535">
        <w:rPr>
          <w:b/>
        </w:rPr>
        <w:t>5 млрд.</w:t>
      </w:r>
      <w:r w:rsidRPr="00AE7535">
        <w:t xml:space="preserve"> </w:t>
      </w:r>
    </w:p>
    <w:p w14:paraId="57727ABC" w14:textId="071D707F" w:rsidR="00520948" w:rsidRPr="00A44D6B" w:rsidRDefault="00FC02AE" w:rsidP="00520948">
      <w:pPr>
        <w:pStyle w:val="AZA-Text"/>
      </w:pPr>
      <w:r w:rsidRPr="00A44D6B">
        <w:t xml:space="preserve">Ускорение притока ПИИ в </w:t>
      </w:r>
      <w:r w:rsidR="00035FA5">
        <w:t>электро</w:t>
      </w:r>
      <w:r w:rsidRPr="00A44D6B">
        <w:t xml:space="preserve">энергетику обусловлено сочетанием быстрого роста внутреннего спроса на </w:t>
      </w:r>
      <w:r w:rsidR="00035FA5">
        <w:t>электричество</w:t>
      </w:r>
      <w:r w:rsidRPr="00A44D6B">
        <w:t xml:space="preserve"> и </w:t>
      </w:r>
      <w:r w:rsidR="00854DD1">
        <w:t>ускоряющимся в Евразии</w:t>
      </w:r>
      <w:r w:rsidRPr="00A44D6B">
        <w:t xml:space="preserve"> энергетическ</w:t>
      </w:r>
      <w:r w:rsidR="00854DD1">
        <w:t>им</w:t>
      </w:r>
      <w:r w:rsidRPr="00A44D6B">
        <w:t xml:space="preserve"> переход</w:t>
      </w:r>
      <w:r w:rsidR="00854DD1">
        <w:t xml:space="preserve">ом с опорой на </w:t>
      </w:r>
      <w:r w:rsidRPr="00A44D6B">
        <w:t>проект</w:t>
      </w:r>
      <w:r w:rsidR="00854DD1">
        <w:t>ы</w:t>
      </w:r>
      <w:r w:rsidRPr="00A44D6B">
        <w:t xml:space="preserve"> возобновляемых источников энергии. </w:t>
      </w:r>
    </w:p>
    <w:p w14:paraId="4B1CA9CB" w14:textId="77777777" w:rsidR="00B019ED" w:rsidRPr="005B34EF" w:rsidRDefault="00B019ED" w:rsidP="00B019ED">
      <w:pPr>
        <w:pStyle w:val="AZA-Text"/>
        <w:spacing w:before="120" w:after="120"/>
      </w:pPr>
    </w:p>
    <w:p w14:paraId="0E7E0305" w14:textId="292B6FC7" w:rsidR="00805916" w:rsidRPr="005B34EF" w:rsidRDefault="00805916" w:rsidP="00FE3EA4">
      <w:pPr>
        <w:pStyle w:val="AZA-Text"/>
        <w:rPr>
          <w:lang w:eastAsia="ru-RU"/>
        </w:rPr>
      </w:pPr>
      <w:r w:rsidRPr="005B34EF">
        <w:t>Подробнее</w:t>
      </w:r>
      <w:r w:rsidR="00307CAF" w:rsidRPr="005B34EF">
        <w:t xml:space="preserve"> </w:t>
      </w:r>
      <w:r w:rsidRPr="005B34EF">
        <w:t>с</w:t>
      </w:r>
      <w:r w:rsidR="00307CAF" w:rsidRPr="005B34EF">
        <w:t xml:space="preserve"> </w:t>
      </w:r>
      <w:r w:rsidRPr="005B34EF">
        <w:t>докладом</w:t>
      </w:r>
      <w:r w:rsidR="00307CAF" w:rsidRPr="005B34EF">
        <w:t xml:space="preserve"> </w:t>
      </w:r>
      <w:r w:rsidRPr="005B34EF">
        <w:t>и</w:t>
      </w:r>
      <w:r w:rsidR="00307CAF" w:rsidRPr="005B34EF">
        <w:t xml:space="preserve"> </w:t>
      </w:r>
      <w:r w:rsidRPr="005B34EF">
        <w:t>материалами</w:t>
      </w:r>
      <w:r w:rsidR="00307CAF" w:rsidRPr="005B34EF">
        <w:t xml:space="preserve"> </w:t>
      </w:r>
      <w:r w:rsidRPr="005B34EF">
        <w:t>исследования</w:t>
      </w:r>
      <w:r w:rsidR="00307CAF" w:rsidRPr="005B34EF">
        <w:t xml:space="preserve"> </w:t>
      </w:r>
      <w:r w:rsidRPr="005B34EF">
        <w:t>можно</w:t>
      </w:r>
      <w:r w:rsidR="00307CAF" w:rsidRPr="005B34EF">
        <w:t xml:space="preserve"> </w:t>
      </w:r>
      <w:r w:rsidRPr="005B34EF">
        <w:t>ознакомиться</w:t>
      </w:r>
      <w:r w:rsidR="00307CAF" w:rsidRPr="005B34EF">
        <w:t xml:space="preserve"> </w:t>
      </w:r>
      <w:r w:rsidRPr="005B34EF">
        <w:rPr>
          <w:b/>
          <w:color w:val="FF0000"/>
        </w:rPr>
        <w:t>на</w:t>
      </w:r>
      <w:r w:rsidR="00307CAF" w:rsidRPr="005B34EF">
        <w:rPr>
          <w:b/>
          <w:color w:val="FF0000"/>
        </w:rPr>
        <w:t xml:space="preserve"> </w:t>
      </w:r>
      <w:r w:rsidRPr="005B34EF">
        <w:rPr>
          <w:b/>
          <w:color w:val="FF0000"/>
        </w:rPr>
        <w:t>сайте</w:t>
      </w:r>
      <w:r w:rsidR="00307CAF" w:rsidRPr="005B34EF">
        <w:rPr>
          <w:b/>
          <w:color w:val="FF0000"/>
        </w:rPr>
        <w:t xml:space="preserve"> </w:t>
      </w:r>
      <w:r w:rsidRPr="005B34EF">
        <w:rPr>
          <w:b/>
          <w:color w:val="FF0000"/>
        </w:rPr>
        <w:t>Банка</w:t>
      </w:r>
      <w:r w:rsidRPr="005B34EF">
        <w:rPr>
          <w:color w:val="0070C0"/>
        </w:rPr>
        <w:t>.</w:t>
      </w:r>
      <w:r w:rsidR="00307CAF" w:rsidRPr="005B34EF">
        <w:t xml:space="preserve"> </w:t>
      </w:r>
    </w:p>
    <w:p w14:paraId="134680DB" w14:textId="77777777" w:rsidR="00805916" w:rsidRPr="005B34EF" w:rsidRDefault="00805916" w:rsidP="00FE3EA4">
      <w:pPr>
        <w:pStyle w:val="a6"/>
        <w:spacing w:before="0" w:beforeAutospacing="0" w:after="0" w:afterAutospacing="0" w:line="375" w:lineRule="atLeast"/>
        <w:textAlignment w:val="baseline"/>
        <w:rPr>
          <w:rFonts w:ascii="Verdana" w:hAnsi="Verdana" w:cs="Arial"/>
          <w:b/>
          <w:i/>
          <w:iCs/>
          <w:color w:val="000000"/>
          <w:spacing w:val="-2"/>
          <w:sz w:val="22"/>
          <w:szCs w:val="22"/>
          <w:bdr w:val="none" w:sz="0" w:space="0" w:color="auto" w:frame="1"/>
        </w:rPr>
      </w:pPr>
    </w:p>
    <w:p w14:paraId="023C8B09" w14:textId="77777777" w:rsidR="009A7796" w:rsidRPr="009A7796" w:rsidRDefault="009A7796" w:rsidP="009A7796">
      <w:pPr>
        <w:pStyle w:val="a6"/>
        <w:shd w:val="clear" w:color="auto" w:fill="E2EFD9" w:themeFill="accent6" w:themeFillTint="33"/>
        <w:spacing w:after="0"/>
        <w:jc w:val="both"/>
        <w:textAlignment w:val="baseline"/>
        <w:rPr>
          <w:rFonts w:ascii="Verdana" w:hAnsi="Verdana"/>
          <w:b/>
          <w:bCs/>
          <w:i/>
          <w:iCs/>
          <w:color w:val="000000"/>
          <w:spacing w:val="-2"/>
          <w:sz w:val="22"/>
          <w:szCs w:val="22"/>
        </w:rPr>
      </w:pPr>
      <w:r w:rsidRPr="009A7796">
        <w:rPr>
          <w:rFonts w:ascii="Verdana" w:hAnsi="Verdana"/>
          <w:b/>
          <w:bCs/>
          <w:i/>
          <w:iCs/>
          <w:color w:val="000000"/>
          <w:spacing w:val="-2"/>
          <w:sz w:val="22"/>
          <w:szCs w:val="22"/>
        </w:rPr>
        <w:t>Справочно:</w:t>
      </w:r>
    </w:p>
    <w:p w14:paraId="2E452F49" w14:textId="77777777" w:rsidR="009A7796" w:rsidRPr="009A7796" w:rsidRDefault="009A7796" w:rsidP="009A7796">
      <w:pPr>
        <w:pStyle w:val="a6"/>
        <w:shd w:val="clear" w:color="auto" w:fill="E2EFD9" w:themeFill="accent6" w:themeFillTint="33"/>
        <w:spacing w:after="0"/>
        <w:jc w:val="both"/>
        <w:textAlignment w:val="baseline"/>
        <w:rPr>
          <w:rFonts w:ascii="Verdana" w:hAnsi="Verdana"/>
          <w:bCs/>
          <w:i/>
          <w:iCs/>
          <w:color w:val="000000"/>
          <w:spacing w:val="-2"/>
          <w:sz w:val="22"/>
          <w:szCs w:val="22"/>
        </w:rPr>
      </w:pPr>
      <w:r w:rsidRPr="009A7796">
        <w:rPr>
          <w:rFonts w:ascii="Verdana" w:hAnsi="Verdana"/>
          <w:bCs/>
          <w:i/>
          <w:iCs/>
          <w:color w:val="000000"/>
          <w:spacing w:val="-2"/>
          <w:sz w:val="22"/>
          <w:szCs w:val="22"/>
        </w:rPr>
        <w:t>Евразийский банк развития (ЕАБР) — многосторонний банк развития, осуществляющий инвестиционную деятельность на евразийском пространстве. Уже 20 лет ЕАБР содействует укреплению и расширению экономических связей и всестороннему развитию стран-участниц. К концу декабря 2025 года в накопленном портфеле ЕАБР 326 проектов с общим объемом инвестиций на сумму 19,6 млрд долл. США. Основную долю в портфеле ЕАБР занимают проекты с интеграционным эффектом в сферах транспортной инфраструктуры, цифровых систем, зеленой энергетики, сельского хозяйства, промышленности и машиностроения. В своей деятельности Банк руководствуется Целями в области устойчивого развития ООН и принципами ESG.</w:t>
      </w:r>
    </w:p>
    <w:p w14:paraId="2F33DB30" w14:textId="77777777" w:rsidR="009A7796" w:rsidRPr="009A7796" w:rsidRDefault="009A7796" w:rsidP="009A7796">
      <w:pPr>
        <w:pStyle w:val="a6"/>
        <w:shd w:val="clear" w:color="auto" w:fill="E2EFD9" w:themeFill="accent6" w:themeFillTint="33"/>
        <w:spacing w:after="0"/>
        <w:jc w:val="both"/>
        <w:textAlignment w:val="baseline"/>
        <w:rPr>
          <w:rFonts w:ascii="Verdana" w:hAnsi="Verdana"/>
          <w:bCs/>
          <w:i/>
          <w:iCs/>
          <w:color w:val="000000"/>
          <w:spacing w:val="-2"/>
          <w:sz w:val="22"/>
          <w:szCs w:val="22"/>
        </w:rPr>
      </w:pPr>
      <w:r w:rsidRPr="009A7796">
        <w:rPr>
          <w:rFonts w:ascii="Verdana" w:hAnsi="Verdana"/>
          <w:bCs/>
          <w:i/>
          <w:iCs/>
          <w:color w:val="000000"/>
          <w:spacing w:val="-2"/>
          <w:sz w:val="22"/>
          <w:szCs w:val="22"/>
        </w:rPr>
        <w:t>ЕАБР в рамках Стратегии 2022–2026 реализует 3 мегапроекта: «Водно-энергетический комплекс Центральной Азии», «Евразийский транспортный каркас», «Евразийская товаропроводящая сеть».</w:t>
      </w:r>
    </w:p>
    <w:p w14:paraId="25A44748" w14:textId="77777777" w:rsidR="009A7796" w:rsidRPr="009A7796" w:rsidRDefault="009A7796" w:rsidP="009A7796">
      <w:pPr>
        <w:pStyle w:val="a6"/>
        <w:shd w:val="clear" w:color="auto" w:fill="E2EFD9" w:themeFill="accent6" w:themeFillTint="33"/>
        <w:spacing w:after="0"/>
        <w:jc w:val="both"/>
        <w:textAlignment w:val="baseline"/>
        <w:rPr>
          <w:rFonts w:ascii="Verdana" w:hAnsi="Verdana"/>
          <w:b/>
          <w:bCs/>
          <w:i/>
          <w:iCs/>
          <w:color w:val="000000"/>
          <w:spacing w:val="-2"/>
          <w:sz w:val="22"/>
          <w:szCs w:val="22"/>
        </w:rPr>
      </w:pPr>
      <w:r w:rsidRPr="009A7796">
        <w:rPr>
          <w:rFonts w:ascii="Verdana" w:hAnsi="Verdana"/>
          <w:b/>
          <w:bCs/>
          <w:i/>
          <w:iCs/>
          <w:color w:val="000000"/>
          <w:spacing w:val="-2"/>
          <w:sz w:val="22"/>
          <w:szCs w:val="22"/>
        </w:rPr>
        <w:t>Контакты пресс-центра ЕАБР:</w:t>
      </w:r>
    </w:p>
    <w:p w14:paraId="2A4F5885" w14:textId="77777777" w:rsidR="009A7796" w:rsidRPr="009A7796" w:rsidRDefault="009A7796" w:rsidP="009A7796">
      <w:pPr>
        <w:pStyle w:val="a6"/>
        <w:shd w:val="clear" w:color="auto" w:fill="E2EFD9" w:themeFill="accent6" w:themeFillTint="33"/>
        <w:spacing w:after="0"/>
        <w:jc w:val="both"/>
        <w:textAlignment w:val="baseline"/>
        <w:rPr>
          <w:rFonts w:ascii="Verdana" w:hAnsi="Verdana"/>
          <w:bCs/>
          <w:i/>
          <w:iCs/>
          <w:color w:val="000000"/>
          <w:spacing w:val="-2"/>
          <w:sz w:val="22"/>
          <w:szCs w:val="22"/>
        </w:rPr>
      </w:pPr>
      <w:r w:rsidRPr="009A7796">
        <w:rPr>
          <w:rFonts w:ascii="Verdana" w:hAnsi="Verdana"/>
          <w:bCs/>
          <w:i/>
          <w:iCs/>
          <w:color w:val="000000"/>
          <w:spacing w:val="-2"/>
          <w:sz w:val="22"/>
          <w:szCs w:val="22"/>
        </w:rPr>
        <w:t>+7 (727) 244 40 44, доб. 4774 и 2160</w:t>
      </w:r>
    </w:p>
    <w:p w14:paraId="4103A51B" w14:textId="77777777" w:rsidR="009A7796" w:rsidRPr="009A7796" w:rsidRDefault="009A7796" w:rsidP="009A7796">
      <w:pPr>
        <w:pStyle w:val="a6"/>
        <w:shd w:val="clear" w:color="auto" w:fill="E2EFD9" w:themeFill="accent6" w:themeFillTint="33"/>
        <w:spacing w:after="0"/>
        <w:jc w:val="both"/>
        <w:textAlignment w:val="baseline"/>
        <w:rPr>
          <w:rFonts w:ascii="Verdana" w:hAnsi="Verdana"/>
          <w:bCs/>
          <w:i/>
          <w:iCs/>
          <w:color w:val="000000"/>
          <w:spacing w:val="-2"/>
          <w:sz w:val="22"/>
          <w:szCs w:val="22"/>
        </w:rPr>
      </w:pPr>
      <w:r w:rsidRPr="009A7796">
        <w:rPr>
          <w:rFonts w:ascii="Verdana" w:hAnsi="Verdana"/>
          <w:bCs/>
          <w:i/>
          <w:iCs/>
          <w:color w:val="000000"/>
          <w:spacing w:val="-2"/>
          <w:sz w:val="22"/>
          <w:szCs w:val="22"/>
        </w:rPr>
        <w:t>pressa@eabr.org</w:t>
      </w:r>
    </w:p>
    <w:p w14:paraId="350122B2" w14:textId="43E1DEE4" w:rsidR="00307CAF" w:rsidRPr="009A7796" w:rsidRDefault="009A7796" w:rsidP="009A7796">
      <w:pPr>
        <w:pStyle w:val="a6"/>
        <w:shd w:val="clear" w:color="auto" w:fill="E2EFD9" w:themeFill="accent6" w:themeFillTint="33"/>
        <w:spacing w:before="0" w:beforeAutospacing="0" w:after="0" w:afterAutospacing="0"/>
        <w:jc w:val="both"/>
        <w:textAlignment w:val="baseline"/>
        <w:rPr>
          <w:rFonts w:ascii="Verdana" w:hAnsi="Verdana"/>
          <w:i/>
          <w:iCs/>
          <w:color w:val="000000"/>
          <w:spacing w:val="-2"/>
          <w:sz w:val="22"/>
          <w:szCs w:val="22"/>
        </w:rPr>
      </w:pPr>
      <w:r w:rsidRPr="009A7796">
        <w:rPr>
          <w:rFonts w:ascii="Verdana" w:hAnsi="Verdana"/>
          <w:bCs/>
          <w:i/>
          <w:iCs/>
          <w:color w:val="000000"/>
          <w:spacing w:val="-2"/>
          <w:sz w:val="22"/>
          <w:szCs w:val="22"/>
        </w:rPr>
        <w:t>http://eabr.org</w:t>
      </w:r>
    </w:p>
    <w:p w14:paraId="5F994EDA" w14:textId="0F91E26A" w:rsidR="00805916" w:rsidRPr="009A7796" w:rsidRDefault="00805916" w:rsidP="009A7796">
      <w:pPr>
        <w:pStyle w:val="a6"/>
        <w:shd w:val="clear" w:color="auto" w:fill="E2EFD9" w:themeFill="accent6" w:themeFillTint="33"/>
        <w:spacing w:before="0" w:beforeAutospacing="0" w:after="0" w:afterAutospacing="0" w:line="375" w:lineRule="atLeast"/>
        <w:jc w:val="both"/>
        <w:textAlignment w:val="baseline"/>
        <w:rPr>
          <w:rFonts w:ascii="Verdana" w:hAnsi="Verdana"/>
        </w:rPr>
      </w:pPr>
    </w:p>
    <w:sectPr w:rsidR="00805916" w:rsidRPr="009A7796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4A2AC" w14:textId="77777777" w:rsidR="008425BA" w:rsidRDefault="008425BA">
      <w:pPr>
        <w:spacing w:after="0" w:line="240" w:lineRule="auto"/>
      </w:pPr>
      <w:r>
        <w:separator/>
      </w:r>
    </w:p>
  </w:endnote>
  <w:endnote w:type="continuationSeparator" w:id="0">
    <w:p w14:paraId="103CACB7" w14:textId="77777777" w:rsidR="008425BA" w:rsidRDefault="00842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1318620"/>
      <w:docPartObj>
        <w:docPartGallery w:val="Page Numbers (Bottom of Page)"/>
        <w:docPartUnique/>
      </w:docPartObj>
    </w:sdtPr>
    <w:sdtEndPr/>
    <w:sdtContent>
      <w:p w14:paraId="0F209615" w14:textId="1C9B54B8" w:rsidR="00307CAF" w:rsidRDefault="00307CA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71E">
          <w:rPr>
            <w:noProof/>
          </w:rPr>
          <w:t>4</w:t>
        </w:r>
        <w:r>
          <w:fldChar w:fldCharType="end"/>
        </w:r>
      </w:p>
    </w:sdtContent>
  </w:sdt>
  <w:p w14:paraId="702A61E4" w14:textId="77777777" w:rsidR="00307CAF" w:rsidRDefault="00307CA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C78C8" w14:textId="77777777" w:rsidR="008425BA" w:rsidRDefault="008425BA">
      <w:pPr>
        <w:spacing w:after="0" w:line="240" w:lineRule="auto"/>
      </w:pPr>
      <w:r>
        <w:separator/>
      </w:r>
    </w:p>
  </w:footnote>
  <w:footnote w:type="continuationSeparator" w:id="0">
    <w:p w14:paraId="57B46869" w14:textId="77777777" w:rsidR="008425BA" w:rsidRDefault="00842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623E8" w14:textId="0F9CEF0B" w:rsidR="00406C14" w:rsidRDefault="00406C14">
    <w:pPr>
      <w:pStyle w:val="af4"/>
      <w:rPr>
        <w:rFonts w:asciiTheme="minorHAnsi" w:hAnsiTheme="minorHAnsi"/>
      </w:rPr>
    </w:pPr>
    <w:r>
      <w:rPr>
        <w:noProof/>
        <w:lang w:eastAsia="ru-RU"/>
      </w:rPr>
      <w:drawing>
        <wp:inline distT="0" distB="0" distL="0" distR="0" wp14:anchorId="72ED70BE" wp14:editId="1A0B3105">
          <wp:extent cx="1715135" cy="427990"/>
          <wp:effectExtent l="0" t="0" r="0" b="0"/>
          <wp:docPr id="2" name="Рисунок 2" descr="C:\Users\alpatova_ia\AppData\Local\Temp\df0f0e65-2ed0-458d-b2e9-3f48e919ea14_RGB.zip.a14\RGB\04 logo ENG_new\RGB_logo ENG_new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C:\Users\alpatova_ia\AppData\Local\Temp\df0f0e65-2ed0-458d-b2e9-3f48e919ea14_RGB.zip.a14\RGB\04 logo ENG_new\RGB_logo ENG_new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513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8B3817" w14:textId="77777777" w:rsidR="00406C14" w:rsidRPr="00406C14" w:rsidRDefault="00406C14">
    <w:pPr>
      <w:pStyle w:val="af4"/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C1735"/>
    <w:multiLevelType w:val="multilevel"/>
    <w:tmpl w:val="FFB20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5872ED"/>
    <w:multiLevelType w:val="hybridMultilevel"/>
    <w:tmpl w:val="76CE4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11DFD"/>
    <w:multiLevelType w:val="multilevel"/>
    <w:tmpl w:val="6FCEB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874345"/>
    <w:multiLevelType w:val="hybridMultilevel"/>
    <w:tmpl w:val="356CD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942FE"/>
    <w:multiLevelType w:val="hybridMultilevel"/>
    <w:tmpl w:val="8A323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170F"/>
    <w:multiLevelType w:val="hybridMultilevel"/>
    <w:tmpl w:val="80B8B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F4585"/>
    <w:multiLevelType w:val="hybridMultilevel"/>
    <w:tmpl w:val="982A0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B00DF"/>
    <w:multiLevelType w:val="hybridMultilevel"/>
    <w:tmpl w:val="0EFAD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6249F"/>
    <w:multiLevelType w:val="hybridMultilevel"/>
    <w:tmpl w:val="33DE1A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3713C"/>
    <w:multiLevelType w:val="hybridMultilevel"/>
    <w:tmpl w:val="DB529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424B5"/>
    <w:multiLevelType w:val="hybridMultilevel"/>
    <w:tmpl w:val="C5B89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736D7E"/>
    <w:multiLevelType w:val="hybridMultilevel"/>
    <w:tmpl w:val="A6384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26370"/>
    <w:multiLevelType w:val="hybridMultilevel"/>
    <w:tmpl w:val="3C2CD9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3082835"/>
    <w:multiLevelType w:val="hybridMultilevel"/>
    <w:tmpl w:val="4EF0D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784468"/>
    <w:multiLevelType w:val="hybridMultilevel"/>
    <w:tmpl w:val="61F6A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8A4A4E"/>
    <w:multiLevelType w:val="hybridMultilevel"/>
    <w:tmpl w:val="B0228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84A40"/>
    <w:multiLevelType w:val="hybridMultilevel"/>
    <w:tmpl w:val="5F941822"/>
    <w:lvl w:ilvl="0" w:tplc="2D02280A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AC13BF"/>
    <w:multiLevelType w:val="hybridMultilevel"/>
    <w:tmpl w:val="1F0C5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2467C4"/>
    <w:multiLevelType w:val="hybridMultilevel"/>
    <w:tmpl w:val="3858F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5"/>
  </w:num>
  <w:num w:numId="4">
    <w:abstractNumId w:val="12"/>
  </w:num>
  <w:num w:numId="5">
    <w:abstractNumId w:val="11"/>
  </w:num>
  <w:num w:numId="6">
    <w:abstractNumId w:val="16"/>
  </w:num>
  <w:num w:numId="7">
    <w:abstractNumId w:val="6"/>
  </w:num>
  <w:num w:numId="8">
    <w:abstractNumId w:val="17"/>
  </w:num>
  <w:num w:numId="9">
    <w:abstractNumId w:val="18"/>
  </w:num>
  <w:num w:numId="10">
    <w:abstractNumId w:val="10"/>
  </w:num>
  <w:num w:numId="11">
    <w:abstractNumId w:val="5"/>
  </w:num>
  <w:num w:numId="12">
    <w:abstractNumId w:val="1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 w:numId="17">
    <w:abstractNumId w:val="0"/>
  </w:num>
  <w:num w:numId="18">
    <w:abstractNumId w:val="9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D18"/>
    <w:rsid w:val="0000398B"/>
    <w:rsid w:val="00013511"/>
    <w:rsid w:val="00016C51"/>
    <w:rsid w:val="00027D95"/>
    <w:rsid w:val="00034F28"/>
    <w:rsid w:val="00035FA5"/>
    <w:rsid w:val="00041C9B"/>
    <w:rsid w:val="000743B0"/>
    <w:rsid w:val="00081574"/>
    <w:rsid w:val="000928AD"/>
    <w:rsid w:val="00094BF6"/>
    <w:rsid w:val="000A11E1"/>
    <w:rsid w:val="000A616A"/>
    <w:rsid w:val="000C0387"/>
    <w:rsid w:val="000C4F4D"/>
    <w:rsid w:val="000D322F"/>
    <w:rsid w:val="000D697F"/>
    <w:rsid w:val="000E72D7"/>
    <w:rsid w:val="000E7E50"/>
    <w:rsid w:val="00101E4F"/>
    <w:rsid w:val="001107A1"/>
    <w:rsid w:val="0011656C"/>
    <w:rsid w:val="00121208"/>
    <w:rsid w:val="00122842"/>
    <w:rsid w:val="0012771A"/>
    <w:rsid w:val="00134897"/>
    <w:rsid w:val="00134F14"/>
    <w:rsid w:val="001469E1"/>
    <w:rsid w:val="00147F3C"/>
    <w:rsid w:val="00160FC1"/>
    <w:rsid w:val="00165D08"/>
    <w:rsid w:val="00176B92"/>
    <w:rsid w:val="00177325"/>
    <w:rsid w:val="0019474D"/>
    <w:rsid w:val="00195EDB"/>
    <w:rsid w:val="00196102"/>
    <w:rsid w:val="0019744B"/>
    <w:rsid w:val="001C1103"/>
    <w:rsid w:val="001F77D6"/>
    <w:rsid w:val="00202233"/>
    <w:rsid w:val="00202BBF"/>
    <w:rsid w:val="00204361"/>
    <w:rsid w:val="00204D57"/>
    <w:rsid w:val="00207FEC"/>
    <w:rsid w:val="00217CFD"/>
    <w:rsid w:val="00237C32"/>
    <w:rsid w:val="00255D2E"/>
    <w:rsid w:val="00282FA9"/>
    <w:rsid w:val="00286703"/>
    <w:rsid w:val="00296A94"/>
    <w:rsid w:val="002B322F"/>
    <w:rsid w:val="002D69E8"/>
    <w:rsid w:val="002F2311"/>
    <w:rsid w:val="002F2409"/>
    <w:rsid w:val="00303FF0"/>
    <w:rsid w:val="00305BE7"/>
    <w:rsid w:val="00307CAF"/>
    <w:rsid w:val="00311770"/>
    <w:rsid w:val="00315C2E"/>
    <w:rsid w:val="00315F0F"/>
    <w:rsid w:val="003319D1"/>
    <w:rsid w:val="00333E74"/>
    <w:rsid w:val="00352294"/>
    <w:rsid w:val="00372D18"/>
    <w:rsid w:val="00391D29"/>
    <w:rsid w:val="003955A1"/>
    <w:rsid w:val="003A2C81"/>
    <w:rsid w:val="003A7D5D"/>
    <w:rsid w:val="003A7FD0"/>
    <w:rsid w:val="003B01A5"/>
    <w:rsid w:val="003B745A"/>
    <w:rsid w:val="003C02E9"/>
    <w:rsid w:val="003D1D6D"/>
    <w:rsid w:val="003D245A"/>
    <w:rsid w:val="003E3423"/>
    <w:rsid w:val="003E3566"/>
    <w:rsid w:val="003E7021"/>
    <w:rsid w:val="00402ACB"/>
    <w:rsid w:val="00406C14"/>
    <w:rsid w:val="00420923"/>
    <w:rsid w:val="00421211"/>
    <w:rsid w:val="00423B2A"/>
    <w:rsid w:val="00434994"/>
    <w:rsid w:val="004402F6"/>
    <w:rsid w:val="00462EC9"/>
    <w:rsid w:val="00472464"/>
    <w:rsid w:val="00476EB1"/>
    <w:rsid w:val="0048488E"/>
    <w:rsid w:val="00486773"/>
    <w:rsid w:val="004A19A1"/>
    <w:rsid w:val="004B5E75"/>
    <w:rsid w:val="004C1650"/>
    <w:rsid w:val="004C6496"/>
    <w:rsid w:val="004E53CF"/>
    <w:rsid w:val="004F02E4"/>
    <w:rsid w:val="004F3C6E"/>
    <w:rsid w:val="004F4DBE"/>
    <w:rsid w:val="004F50A7"/>
    <w:rsid w:val="005003C6"/>
    <w:rsid w:val="00502371"/>
    <w:rsid w:val="005070FC"/>
    <w:rsid w:val="00520948"/>
    <w:rsid w:val="0053171E"/>
    <w:rsid w:val="0053799F"/>
    <w:rsid w:val="00543F24"/>
    <w:rsid w:val="005640F4"/>
    <w:rsid w:val="00564ECC"/>
    <w:rsid w:val="0057266D"/>
    <w:rsid w:val="00580A62"/>
    <w:rsid w:val="0059261D"/>
    <w:rsid w:val="005948B8"/>
    <w:rsid w:val="0059513C"/>
    <w:rsid w:val="00597A5B"/>
    <w:rsid w:val="005B34EF"/>
    <w:rsid w:val="005B5245"/>
    <w:rsid w:val="005E6057"/>
    <w:rsid w:val="00620774"/>
    <w:rsid w:val="006327D1"/>
    <w:rsid w:val="006642A7"/>
    <w:rsid w:val="00672B92"/>
    <w:rsid w:val="006773BE"/>
    <w:rsid w:val="00680EEF"/>
    <w:rsid w:val="00687159"/>
    <w:rsid w:val="00687882"/>
    <w:rsid w:val="006C0F47"/>
    <w:rsid w:val="006D2E4D"/>
    <w:rsid w:val="006D6667"/>
    <w:rsid w:val="006F2B06"/>
    <w:rsid w:val="006F5C44"/>
    <w:rsid w:val="007030EE"/>
    <w:rsid w:val="00724E0D"/>
    <w:rsid w:val="00746DD3"/>
    <w:rsid w:val="0075738F"/>
    <w:rsid w:val="00760818"/>
    <w:rsid w:val="00762CC6"/>
    <w:rsid w:val="007664A6"/>
    <w:rsid w:val="00771A09"/>
    <w:rsid w:val="0079501D"/>
    <w:rsid w:val="007A23D3"/>
    <w:rsid w:val="007C46AA"/>
    <w:rsid w:val="007C5CAC"/>
    <w:rsid w:val="007D2700"/>
    <w:rsid w:val="007D4E8A"/>
    <w:rsid w:val="007D519A"/>
    <w:rsid w:val="007E611C"/>
    <w:rsid w:val="007F1B87"/>
    <w:rsid w:val="00804DFB"/>
    <w:rsid w:val="00805916"/>
    <w:rsid w:val="0080601E"/>
    <w:rsid w:val="008353EC"/>
    <w:rsid w:val="008425BA"/>
    <w:rsid w:val="008475C5"/>
    <w:rsid w:val="00850475"/>
    <w:rsid w:val="00850E37"/>
    <w:rsid w:val="00854DD1"/>
    <w:rsid w:val="00856170"/>
    <w:rsid w:val="00863C31"/>
    <w:rsid w:val="008767B0"/>
    <w:rsid w:val="008A1032"/>
    <w:rsid w:val="008A1C32"/>
    <w:rsid w:val="008B75C5"/>
    <w:rsid w:val="008E189E"/>
    <w:rsid w:val="008E1A96"/>
    <w:rsid w:val="009006A9"/>
    <w:rsid w:val="0090195D"/>
    <w:rsid w:val="00940D6F"/>
    <w:rsid w:val="00947303"/>
    <w:rsid w:val="00950DA4"/>
    <w:rsid w:val="00961874"/>
    <w:rsid w:val="0096590E"/>
    <w:rsid w:val="00971096"/>
    <w:rsid w:val="00977C79"/>
    <w:rsid w:val="00981070"/>
    <w:rsid w:val="00996787"/>
    <w:rsid w:val="0099681D"/>
    <w:rsid w:val="009970CA"/>
    <w:rsid w:val="00997316"/>
    <w:rsid w:val="009A2AC1"/>
    <w:rsid w:val="009A7796"/>
    <w:rsid w:val="009C0463"/>
    <w:rsid w:val="009C10FD"/>
    <w:rsid w:val="009C7215"/>
    <w:rsid w:val="009D14CF"/>
    <w:rsid w:val="009D3A37"/>
    <w:rsid w:val="009E2C8F"/>
    <w:rsid w:val="009E2E7B"/>
    <w:rsid w:val="009E2F3A"/>
    <w:rsid w:val="009F0EFB"/>
    <w:rsid w:val="009F59F4"/>
    <w:rsid w:val="00A26CD7"/>
    <w:rsid w:val="00A36FE5"/>
    <w:rsid w:val="00A44D6B"/>
    <w:rsid w:val="00A50815"/>
    <w:rsid w:val="00A549E7"/>
    <w:rsid w:val="00A62ED2"/>
    <w:rsid w:val="00A632FE"/>
    <w:rsid w:val="00A63B2B"/>
    <w:rsid w:val="00A71A12"/>
    <w:rsid w:val="00A7299C"/>
    <w:rsid w:val="00AC2127"/>
    <w:rsid w:val="00AE2424"/>
    <w:rsid w:val="00AE4E9C"/>
    <w:rsid w:val="00B019ED"/>
    <w:rsid w:val="00B0526B"/>
    <w:rsid w:val="00B14C4C"/>
    <w:rsid w:val="00B20252"/>
    <w:rsid w:val="00B25D8C"/>
    <w:rsid w:val="00B31ECF"/>
    <w:rsid w:val="00B364E5"/>
    <w:rsid w:val="00B36F2F"/>
    <w:rsid w:val="00B42B6C"/>
    <w:rsid w:val="00B5304F"/>
    <w:rsid w:val="00B57143"/>
    <w:rsid w:val="00B72F81"/>
    <w:rsid w:val="00B82B29"/>
    <w:rsid w:val="00B83A46"/>
    <w:rsid w:val="00B86C5B"/>
    <w:rsid w:val="00B95826"/>
    <w:rsid w:val="00BA429B"/>
    <w:rsid w:val="00BB2D4A"/>
    <w:rsid w:val="00BC3E61"/>
    <w:rsid w:val="00BC4036"/>
    <w:rsid w:val="00BD044F"/>
    <w:rsid w:val="00BD30D8"/>
    <w:rsid w:val="00BD5475"/>
    <w:rsid w:val="00BD5F56"/>
    <w:rsid w:val="00BE60A4"/>
    <w:rsid w:val="00C02926"/>
    <w:rsid w:val="00C05447"/>
    <w:rsid w:val="00C12444"/>
    <w:rsid w:val="00C14435"/>
    <w:rsid w:val="00C3264A"/>
    <w:rsid w:val="00C37C7C"/>
    <w:rsid w:val="00C40E4C"/>
    <w:rsid w:val="00C45DEB"/>
    <w:rsid w:val="00C4727A"/>
    <w:rsid w:val="00C52AAA"/>
    <w:rsid w:val="00C5374B"/>
    <w:rsid w:val="00C62510"/>
    <w:rsid w:val="00C7027C"/>
    <w:rsid w:val="00C76F54"/>
    <w:rsid w:val="00C84754"/>
    <w:rsid w:val="00C85916"/>
    <w:rsid w:val="00C8709B"/>
    <w:rsid w:val="00C94C5D"/>
    <w:rsid w:val="00CA1AAC"/>
    <w:rsid w:val="00CB4158"/>
    <w:rsid w:val="00CC2E88"/>
    <w:rsid w:val="00CC6A06"/>
    <w:rsid w:val="00CD0A69"/>
    <w:rsid w:val="00CD5B77"/>
    <w:rsid w:val="00CE40BA"/>
    <w:rsid w:val="00CE62A2"/>
    <w:rsid w:val="00CF3A79"/>
    <w:rsid w:val="00D025F5"/>
    <w:rsid w:val="00D03260"/>
    <w:rsid w:val="00D057A8"/>
    <w:rsid w:val="00D10ECE"/>
    <w:rsid w:val="00D253DA"/>
    <w:rsid w:val="00D31045"/>
    <w:rsid w:val="00D3467B"/>
    <w:rsid w:val="00D34E07"/>
    <w:rsid w:val="00D3624A"/>
    <w:rsid w:val="00D43A83"/>
    <w:rsid w:val="00D53098"/>
    <w:rsid w:val="00D5606B"/>
    <w:rsid w:val="00DB2E67"/>
    <w:rsid w:val="00DD3C25"/>
    <w:rsid w:val="00DD60E1"/>
    <w:rsid w:val="00DD62B4"/>
    <w:rsid w:val="00DE7FD4"/>
    <w:rsid w:val="00E028C9"/>
    <w:rsid w:val="00E11BB9"/>
    <w:rsid w:val="00E126C0"/>
    <w:rsid w:val="00E23327"/>
    <w:rsid w:val="00E27687"/>
    <w:rsid w:val="00E31084"/>
    <w:rsid w:val="00E5392A"/>
    <w:rsid w:val="00E5438E"/>
    <w:rsid w:val="00E55EE6"/>
    <w:rsid w:val="00E65A46"/>
    <w:rsid w:val="00E73359"/>
    <w:rsid w:val="00E82B86"/>
    <w:rsid w:val="00E9414C"/>
    <w:rsid w:val="00E95826"/>
    <w:rsid w:val="00EA4B80"/>
    <w:rsid w:val="00EA5230"/>
    <w:rsid w:val="00EB2D1A"/>
    <w:rsid w:val="00EB342F"/>
    <w:rsid w:val="00EC50DE"/>
    <w:rsid w:val="00ED6006"/>
    <w:rsid w:val="00EE7F3D"/>
    <w:rsid w:val="00EF0FD4"/>
    <w:rsid w:val="00EF1733"/>
    <w:rsid w:val="00F10592"/>
    <w:rsid w:val="00F176EA"/>
    <w:rsid w:val="00F2126D"/>
    <w:rsid w:val="00F27A79"/>
    <w:rsid w:val="00F3188C"/>
    <w:rsid w:val="00F3581D"/>
    <w:rsid w:val="00F41376"/>
    <w:rsid w:val="00F50062"/>
    <w:rsid w:val="00F50A17"/>
    <w:rsid w:val="00F5202B"/>
    <w:rsid w:val="00F66498"/>
    <w:rsid w:val="00F67150"/>
    <w:rsid w:val="00F72DAD"/>
    <w:rsid w:val="00F823C5"/>
    <w:rsid w:val="00F83D35"/>
    <w:rsid w:val="00F87180"/>
    <w:rsid w:val="00F9323E"/>
    <w:rsid w:val="00F93CCC"/>
    <w:rsid w:val="00F965E6"/>
    <w:rsid w:val="00FB3E99"/>
    <w:rsid w:val="00FC02AE"/>
    <w:rsid w:val="00FC0E68"/>
    <w:rsid w:val="00FC16D0"/>
    <w:rsid w:val="00FC291D"/>
    <w:rsid w:val="00FC34E0"/>
    <w:rsid w:val="00FC59F4"/>
    <w:rsid w:val="00FE3EA4"/>
    <w:rsid w:val="00FE485D"/>
    <w:rsid w:val="00FE4DBC"/>
    <w:rsid w:val="00FE5659"/>
    <w:rsid w:val="00FE7DAA"/>
    <w:rsid w:val="00FF0323"/>
    <w:rsid w:val="00FF6FE2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741A8"/>
  <w15:chartTrackingRefBased/>
  <w15:docId w15:val="{E557C086-70BE-4EAF-868F-6A5BBDED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574"/>
    <w:rPr>
      <w:rFonts w:ascii="Roboto" w:hAnsi="Robot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7F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19ED"/>
    <w:pPr>
      <w:keepNext/>
      <w:keepLines/>
      <w:spacing w:before="40" w:after="0" w:line="278" w:lineRule="auto"/>
      <w:outlineLvl w:val="5"/>
    </w:pPr>
    <w:rPr>
      <w:rFonts w:ascii="Verdana" w:eastAsiaTheme="majorEastAsia" w:hAnsi="Verdana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574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081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81574"/>
    <w:rPr>
      <w:rFonts w:ascii="Roboto" w:hAnsi="Roboto"/>
    </w:rPr>
  </w:style>
  <w:style w:type="paragraph" w:styleId="a6">
    <w:name w:val="Normal (Web)"/>
    <w:basedOn w:val="a"/>
    <w:uiPriority w:val="99"/>
    <w:unhideWhenUsed/>
    <w:rsid w:val="00081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081574"/>
    <w:rPr>
      <w:color w:val="0563C1"/>
      <w:u w:val="single"/>
    </w:rPr>
  </w:style>
  <w:style w:type="paragraph" w:customStyle="1" w:styleId="AZA-Text">
    <w:name w:val="AZA-Text"/>
    <w:basedOn w:val="a"/>
    <w:link w:val="AZA-Text0"/>
    <w:qFormat/>
    <w:rsid w:val="00081574"/>
    <w:pPr>
      <w:spacing w:before="240" w:after="0" w:line="240" w:lineRule="auto"/>
      <w:jc w:val="both"/>
    </w:pPr>
    <w:rPr>
      <w:rFonts w:ascii="Verdana" w:eastAsia="Calibri" w:hAnsi="Verdana" w:cs="Times New Roman"/>
    </w:rPr>
  </w:style>
  <w:style w:type="character" w:customStyle="1" w:styleId="AZA-Text0">
    <w:name w:val="AZA-Text Знак"/>
    <w:link w:val="AZA-Text"/>
    <w:rsid w:val="00081574"/>
    <w:rPr>
      <w:rFonts w:ascii="Verdana" w:eastAsia="Calibri" w:hAnsi="Verdana" w:cs="Times New Roman"/>
    </w:rPr>
  </w:style>
  <w:style w:type="character" w:styleId="a8">
    <w:name w:val="Strong"/>
    <w:basedOn w:val="a0"/>
    <w:uiPriority w:val="22"/>
    <w:qFormat/>
    <w:rsid w:val="00746DD3"/>
    <w:rPr>
      <w:b/>
      <w:bCs/>
    </w:rPr>
  </w:style>
  <w:style w:type="character" w:styleId="a9">
    <w:name w:val="annotation reference"/>
    <w:basedOn w:val="a0"/>
    <w:uiPriority w:val="99"/>
    <w:semiHidden/>
    <w:unhideWhenUsed/>
    <w:rsid w:val="00CB4158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CB415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B4158"/>
    <w:rPr>
      <w:rFonts w:ascii="Roboto" w:hAnsi="Roboto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B415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B4158"/>
    <w:rPr>
      <w:rFonts w:ascii="Roboto" w:hAnsi="Roboto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B41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B4158"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semiHidden/>
    <w:unhideWhenUsed/>
    <w:rsid w:val="008767B0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767B0"/>
    <w:rPr>
      <w:rFonts w:ascii="Roboto" w:hAnsi="Roboto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8767B0"/>
    <w:rPr>
      <w:vertAlign w:val="superscript"/>
    </w:rPr>
  </w:style>
  <w:style w:type="paragraph" w:styleId="af3">
    <w:name w:val="Revision"/>
    <w:hidden/>
    <w:uiPriority w:val="99"/>
    <w:semiHidden/>
    <w:rsid w:val="008E189E"/>
    <w:pPr>
      <w:spacing w:after="0" w:line="240" w:lineRule="auto"/>
    </w:pPr>
    <w:rPr>
      <w:rFonts w:ascii="Roboto" w:hAnsi="Roboto"/>
    </w:rPr>
  </w:style>
  <w:style w:type="character" w:customStyle="1" w:styleId="60">
    <w:name w:val="Заголовок 6 Знак"/>
    <w:basedOn w:val="a0"/>
    <w:link w:val="6"/>
    <w:uiPriority w:val="9"/>
    <w:semiHidden/>
    <w:rsid w:val="00B019ED"/>
    <w:rPr>
      <w:rFonts w:ascii="Verdana" w:eastAsiaTheme="majorEastAsia" w:hAnsi="Verdana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af4">
    <w:name w:val="header"/>
    <w:basedOn w:val="a"/>
    <w:link w:val="af5"/>
    <w:uiPriority w:val="99"/>
    <w:unhideWhenUsed/>
    <w:rsid w:val="00406C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06C14"/>
    <w:rPr>
      <w:rFonts w:ascii="Roboto" w:hAnsi="Roboto"/>
    </w:rPr>
  </w:style>
  <w:style w:type="paragraph" w:styleId="af6">
    <w:name w:val="caption"/>
    <w:aliases w:val="рисунок и таблица"/>
    <w:basedOn w:val="a"/>
    <w:next w:val="a"/>
    <w:uiPriority w:val="35"/>
    <w:unhideWhenUsed/>
    <w:qFormat/>
    <w:rsid w:val="00FC02AE"/>
    <w:pPr>
      <w:spacing w:after="200" w:line="240" w:lineRule="auto"/>
    </w:pPr>
    <w:rPr>
      <w:rFonts w:ascii="Verdana" w:hAnsi="Verdana"/>
      <w:i/>
      <w:iCs/>
      <w:color w:val="44546A" w:themeColor="text2"/>
      <w:kern w:val="2"/>
      <w:sz w:val="18"/>
      <w:szCs w:val="18"/>
      <w:lang w:val="en-US"/>
      <w14:ligatures w14:val="standardContextual"/>
    </w:rPr>
  </w:style>
  <w:style w:type="paragraph" w:styleId="af7">
    <w:name w:val="Title"/>
    <w:aliases w:val="Heading 3 _"/>
    <w:basedOn w:val="3"/>
    <w:next w:val="3"/>
    <w:link w:val="af8"/>
    <w:uiPriority w:val="10"/>
    <w:qFormat/>
    <w:rsid w:val="00FF7FDC"/>
    <w:pPr>
      <w:spacing w:line="240" w:lineRule="auto"/>
      <w:contextualSpacing/>
    </w:pPr>
    <w:rPr>
      <w:spacing w:val="-10"/>
      <w:kern w:val="28"/>
      <w:sz w:val="22"/>
      <w:szCs w:val="56"/>
      <w14:ligatures w14:val="standardContextual"/>
    </w:rPr>
  </w:style>
  <w:style w:type="character" w:customStyle="1" w:styleId="af8">
    <w:name w:val="Заголовок Знак"/>
    <w:aliases w:val="Heading 3 _ Знак"/>
    <w:basedOn w:val="a0"/>
    <w:link w:val="af7"/>
    <w:uiPriority w:val="10"/>
    <w:rsid w:val="00FF7FDC"/>
    <w:rPr>
      <w:rFonts w:asciiTheme="majorHAnsi" w:eastAsiaTheme="majorEastAsia" w:hAnsiTheme="majorHAnsi" w:cstheme="majorBidi"/>
      <w:color w:val="1F4D78" w:themeColor="accent1" w:themeShade="7F"/>
      <w:spacing w:val="-10"/>
      <w:kern w:val="28"/>
      <w:szCs w:val="56"/>
      <w14:ligatures w14:val="standardContextual"/>
    </w:rPr>
  </w:style>
  <w:style w:type="character" w:customStyle="1" w:styleId="30">
    <w:name w:val="Заголовок 3 Знак"/>
    <w:basedOn w:val="a0"/>
    <w:link w:val="3"/>
    <w:uiPriority w:val="9"/>
    <w:semiHidden/>
    <w:rsid w:val="00FF7FD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EDC90-6148-4CF3-940B-D554DA160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Омаров Айдос Толеубекович</dc:creator>
  <cp:keywords/>
  <dc:description/>
  <cp:lastModifiedBy>Забоев Александр Игоревич</cp:lastModifiedBy>
  <cp:revision>2</cp:revision>
  <dcterms:created xsi:type="dcterms:W3CDTF">2026-01-29T06:40:00Z</dcterms:created>
  <dcterms:modified xsi:type="dcterms:W3CDTF">2026-01-29T06:40:00Z</dcterms:modified>
</cp:coreProperties>
</file>